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AF4B3B" w:rsidP="005A4F39">
      <w:pPr>
        <w:pStyle w:val="Header"/>
        <w:tabs>
          <w:tab w:val="right" w:pos="9072"/>
        </w:tabs>
        <w:rPr>
          <w:rFonts w:ascii="Arial" w:hAnsi="Arial" w:cs="Arial"/>
          <w:sz w:val="24"/>
          <w:szCs w:val="28"/>
          <w:lang w:val="en-US"/>
        </w:rPr>
      </w:pPr>
      <w:r w:rsidRPr="00C57C4E">
        <w:rPr>
          <w:rFonts w:ascii="Arial" w:hAnsi="Arial" w:cs="Arial"/>
          <w:sz w:val="24"/>
          <w:szCs w:val="28"/>
          <w:lang w:val="en-US"/>
        </w:rPr>
        <w:t>3GPP TSG RAN WG4 Meeting #7</w:t>
      </w:r>
      <w:r w:rsidR="007D18D2">
        <w:rPr>
          <w:rFonts w:ascii="Arial" w:hAnsi="Arial" w:cs="Arial"/>
          <w:sz w:val="24"/>
          <w:szCs w:val="28"/>
          <w:lang w:val="en-US"/>
        </w:rPr>
        <w:t>9</w:t>
      </w:r>
      <w:r w:rsidR="00BB5A8C">
        <w:rPr>
          <w:rFonts w:ascii="Arial" w:hAnsi="Arial" w:cs="Arial"/>
          <w:sz w:val="24"/>
          <w:szCs w:val="28"/>
          <w:lang w:val="en-US"/>
        </w:rPr>
        <w:t>AH</w:t>
      </w:r>
      <w:r w:rsidR="00D80957" w:rsidRPr="00C57C4E">
        <w:rPr>
          <w:rFonts w:ascii="Arial" w:hAnsi="Arial" w:cs="Arial"/>
          <w:sz w:val="24"/>
          <w:szCs w:val="28"/>
          <w:lang w:val="en-US"/>
        </w:rPr>
        <w:tab/>
      </w:r>
      <w:r w:rsidR="00075040" w:rsidRPr="006C1EDD">
        <w:rPr>
          <w:rFonts w:ascii="Arial" w:hAnsi="Arial" w:cs="Arial"/>
          <w:sz w:val="24"/>
          <w:szCs w:val="28"/>
          <w:lang w:val="en-US"/>
        </w:rPr>
        <w:t>R4-</w:t>
      </w:r>
      <w:r w:rsidR="007B3DFB">
        <w:rPr>
          <w:rFonts w:ascii="Arial" w:hAnsi="Arial" w:cs="Arial"/>
          <w:sz w:val="24"/>
          <w:szCs w:val="28"/>
          <w:lang w:val="en-US"/>
        </w:rPr>
        <w:t>79AH-0185</w:t>
      </w:r>
    </w:p>
    <w:p w:rsidR="00D80957" w:rsidRPr="00BB5A8C" w:rsidRDefault="00BB5A8C" w:rsidP="005A4F39">
      <w:pPr>
        <w:pStyle w:val="Header"/>
        <w:tabs>
          <w:tab w:val="right" w:pos="9072"/>
        </w:tabs>
        <w:rPr>
          <w:rFonts w:ascii="Arial" w:hAnsi="Arial" w:cs="Arial"/>
          <w:sz w:val="24"/>
          <w:szCs w:val="28"/>
          <w:lang w:val="sv-SE"/>
        </w:rPr>
      </w:pPr>
      <w:r w:rsidRPr="00BB5A8C">
        <w:rPr>
          <w:rFonts w:ascii="Arial" w:hAnsi="Arial" w:cs="Arial"/>
          <w:sz w:val="24"/>
          <w:szCs w:val="28"/>
          <w:lang w:val="sv-SE"/>
        </w:rPr>
        <w:t>Hong Kong</w:t>
      </w:r>
      <w:r w:rsidR="008A3944" w:rsidRPr="00BB5A8C">
        <w:rPr>
          <w:rFonts w:ascii="Arial" w:hAnsi="Arial" w:cs="Arial"/>
          <w:sz w:val="24"/>
          <w:szCs w:val="28"/>
          <w:lang w:val="sv-SE"/>
        </w:rPr>
        <w:t xml:space="preserve">, </w:t>
      </w:r>
      <w:r w:rsidR="007D18D2" w:rsidRPr="00BB5A8C">
        <w:rPr>
          <w:rFonts w:ascii="Arial" w:hAnsi="Arial" w:cs="Arial"/>
          <w:sz w:val="24"/>
          <w:szCs w:val="28"/>
          <w:lang w:val="sv-SE"/>
        </w:rPr>
        <w:t xml:space="preserve">P.R. China, </w:t>
      </w:r>
      <w:r w:rsidRPr="00BB5A8C">
        <w:rPr>
          <w:rFonts w:ascii="Arial" w:hAnsi="Arial" w:cs="Arial"/>
          <w:sz w:val="24"/>
          <w:szCs w:val="28"/>
          <w:lang w:val="sv-SE"/>
        </w:rPr>
        <w:t>June</w:t>
      </w:r>
      <w:r w:rsidR="008A3944" w:rsidRPr="00BB5A8C">
        <w:rPr>
          <w:rFonts w:ascii="Arial" w:hAnsi="Arial" w:cs="Arial"/>
          <w:sz w:val="24"/>
          <w:szCs w:val="28"/>
          <w:lang w:val="sv-SE"/>
        </w:rPr>
        <w:t xml:space="preserve"> </w:t>
      </w:r>
      <w:r w:rsidRPr="00BB5A8C">
        <w:rPr>
          <w:rFonts w:ascii="Arial" w:hAnsi="Arial" w:cs="Arial"/>
          <w:sz w:val="24"/>
          <w:szCs w:val="28"/>
          <w:lang w:val="sv-SE"/>
        </w:rPr>
        <w:t>28 – 30</w:t>
      </w:r>
      <w:r w:rsidR="00F56366" w:rsidRPr="00BB5A8C">
        <w:rPr>
          <w:rFonts w:ascii="Arial" w:hAnsi="Arial" w:cs="Arial"/>
          <w:sz w:val="24"/>
          <w:szCs w:val="28"/>
          <w:lang w:val="sv-SE"/>
        </w:rPr>
        <w:t>, 2016</w:t>
      </w:r>
    </w:p>
    <w:p w:rsidR="00D80957" w:rsidRPr="00BB5A8C" w:rsidRDefault="00D80957" w:rsidP="0033186E">
      <w:pPr>
        <w:tabs>
          <w:tab w:val="left" w:pos="1985"/>
        </w:tabs>
        <w:spacing w:before="240" w:after="0"/>
        <w:jc w:val="both"/>
        <w:rPr>
          <w:rFonts w:ascii="Arial" w:hAnsi="Arial" w:cs="Arial"/>
          <w:bCs/>
          <w:sz w:val="22"/>
          <w:szCs w:val="22"/>
          <w:lang w:val="sv-SE"/>
        </w:rPr>
      </w:pPr>
      <w:r w:rsidRPr="00BB5A8C">
        <w:rPr>
          <w:rFonts w:ascii="Arial" w:hAnsi="Arial" w:cs="Arial"/>
          <w:b/>
          <w:sz w:val="22"/>
          <w:szCs w:val="22"/>
          <w:lang w:val="sv-SE"/>
        </w:rPr>
        <w:t>Agenda Item:</w:t>
      </w:r>
      <w:r w:rsidRPr="00BB5A8C">
        <w:rPr>
          <w:rFonts w:ascii="Arial" w:hAnsi="Arial" w:cs="Arial"/>
          <w:b/>
          <w:sz w:val="22"/>
          <w:szCs w:val="22"/>
          <w:lang w:val="sv-SE"/>
        </w:rPr>
        <w:tab/>
      </w:r>
      <w:r w:rsidR="00B76E95">
        <w:rPr>
          <w:rFonts w:ascii="Arial" w:hAnsi="Arial" w:cs="Arial"/>
          <w:bCs/>
          <w:sz w:val="22"/>
          <w:szCs w:val="22"/>
          <w:lang w:val="sv-SE"/>
        </w:rPr>
        <w:t>2.3</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FE4E16">
        <w:rPr>
          <w:rFonts w:ascii="Arial" w:hAnsi="Arial" w:cs="Arial"/>
          <w:sz w:val="22"/>
          <w:szCs w:val="22"/>
          <w:lang w:val="en-US"/>
        </w:rPr>
        <w:t xml:space="preserve">OCNG pattern for </w:t>
      </w:r>
      <w:r w:rsidR="007B3DFB">
        <w:rPr>
          <w:rFonts w:ascii="Arial" w:hAnsi="Arial" w:cs="Arial"/>
          <w:sz w:val="22"/>
          <w:szCs w:val="22"/>
          <w:lang w:val="en-US"/>
        </w:rPr>
        <w:t>in-band RRM tests</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B76E95">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0" w:name="OLE_LINK13"/>
      <w:bookmarkStart w:id="1" w:name="OLE_LINK14"/>
    </w:p>
    <w:p w:rsidR="00B76E95" w:rsidRDefault="00B76E95" w:rsidP="00F56366">
      <w:pPr>
        <w:jc w:val="both"/>
        <w:rPr>
          <w:sz w:val="22"/>
          <w:szCs w:val="22"/>
          <w:lang w:val="en-US"/>
        </w:rPr>
      </w:pPr>
      <w:r>
        <w:rPr>
          <w:sz w:val="22"/>
          <w:szCs w:val="22"/>
          <w:lang w:val="en-US"/>
        </w:rPr>
        <w:t xml:space="preserve">OFDM channel noise generator (OCNG) is </w:t>
      </w:r>
      <w:r w:rsidR="008D237F">
        <w:rPr>
          <w:sz w:val="22"/>
          <w:szCs w:val="22"/>
          <w:lang w:val="en-US"/>
        </w:rPr>
        <w:t xml:space="preserve">used in LTE to fill up parts </w:t>
      </w:r>
      <w:r>
        <w:rPr>
          <w:sz w:val="22"/>
          <w:szCs w:val="22"/>
          <w:lang w:val="en-US"/>
        </w:rPr>
        <w:t xml:space="preserve">or whole </w:t>
      </w:r>
      <w:r w:rsidR="008D237F">
        <w:rPr>
          <w:sz w:val="22"/>
          <w:szCs w:val="22"/>
          <w:lang w:val="en-US"/>
        </w:rPr>
        <w:t xml:space="preserve">of the </w:t>
      </w:r>
      <w:r>
        <w:rPr>
          <w:sz w:val="22"/>
          <w:szCs w:val="22"/>
          <w:lang w:val="en-US"/>
        </w:rPr>
        <w:t>downlink system bandwidth for the purpose of emulating allocations to UEs that are not under test. Par</w:t>
      </w:r>
      <w:r w:rsidR="008D237F">
        <w:rPr>
          <w:sz w:val="22"/>
          <w:szCs w:val="22"/>
          <w:lang w:val="en-US"/>
        </w:rPr>
        <w:t>ticularly in RRM testing OCNG is used for providing</w:t>
      </w:r>
      <w:r>
        <w:rPr>
          <w:sz w:val="22"/>
          <w:szCs w:val="22"/>
          <w:lang w:val="en-US"/>
        </w:rPr>
        <w:t xml:space="preserve"> a certain spectral</w:t>
      </w:r>
      <w:r w:rsidR="008D237F">
        <w:rPr>
          <w:sz w:val="22"/>
          <w:szCs w:val="22"/>
          <w:lang w:val="en-US"/>
        </w:rPr>
        <w:t xml:space="preserve"> shape and for providing interference by intra-frequency neighbor cells.</w:t>
      </w:r>
    </w:p>
    <w:p w:rsidR="008D237F" w:rsidRDefault="008D237F" w:rsidP="00F56366">
      <w:pPr>
        <w:jc w:val="both"/>
        <w:rPr>
          <w:sz w:val="22"/>
          <w:szCs w:val="22"/>
          <w:lang w:val="en-US"/>
        </w:rPr>
      </w:pPr>
      <w:r>
        <w:rPr>
          <w:sz w:val="22"/>
          <w:szCs w:val="22"/>
          <w:lang w:val="en-US"/>
        </w:rPr>
        <w:t>OCNG will be useful also for RRM testing in Narrowband IoT. In order to cater for the in-band NB-IoT scenario however some modification of the concept is needed. Particularly, there are two different OCNGs involved: one for the LTE cell, and one for the Narrowband IoT cell. The reason for this is to maintain flexibility such that different power levels can be used for OCNGs in the LTE cell and Narrowband IoT cell, respectively.</w:t>
      </w:r>
    </w:p>
    <w:p w:rsidR="001E63DD" w:rsidRDefault="008D237F" w:rsidP="00F56366">
      <w:pPr>
        <w:jc w:val="both"/>
        <w:rPr>
          <w:sz w:val="22"/>
          <w:szCs w:val="22"/>
          <w:lang w:val="en-US"/>
        </w:rPr>
      </w:pPr>
      <w:r>
        <w:rPr>
          <w:sz w:val="22"/>
          <w:szCs w:val="22"/>
          <w:lang w:val="en-US"/>
        </w:rPr>
        <w:t>In this contribution we propose an OCNG pattern to be used in RRM testing of in-band NB-IoT cells.</w:t>
      </w:r>
    </w:p>
    <w:p w:rsidR="00575E80" w:rsidRDefault="008D2CFE" w:rsidP="00BD2156">
      <w:pPr>
        <w:pStyle w:val="Heading1"/>
        <w:ind w:left="431" w:hanging="431"/>
        <w:rPr>
          <w:szCs w:val="36"/>
          <w:lang w:val="en-US"/>
        </w:rPr>
      </w:pPr>
      <w:r>
        <w:rPr>
          <w:szCs w:val="36"/>
          <w:lang w:val="en-US"/>
        </w:rPr>
        <w:t>OCNG in LTE and extension for NB-IoT</w:t>
      </w:r>
    </w:p>
    <w:p w:rsidR="00412F61" w:rsidRPr="00412F61" w:rsidRDefault="00575E80" w:rsidP="001E3DC6">
      <w:pPr>
        <w:jc w:val="both"/>
        <w:rPr>
          <w:sz w:val="22"/>
          <w:szCs w:val="22"/>
          <w:lang w:eastAsia="zh-CN"/>
        </w:rPr>
      </w:pPr>
      <w:r w:rsidRPr="00412F61">
        <w:rPr>
          <w:sz w:val="22"/>
          <w:szCs w:val="22"/>
          <w:lang w:val="en-US"/>
        </w:rPr>
        <w:t xml:space="preserve">Existing OCNG patterns for LTE </w:t>
      </w:r>
      <w:r w:rsidR="00D32036" w:rsidRPr="00412F61">
        <w:rPr>
          <w:sz w:val="22"/>
          <w:szCs w:val="22"/>
          <w:lang w:val="en-US"/>
        </w:rPr>
        <w:t>specify in which PRBs with respect to time (subframe) and frequency (PRB number</w:t>
      </w:r>
      <w:r w:rsidR="00D32036" w:rsidRPr="00412F61">
        <w:rPr>
          <w:rFonts w:cs="Arial"/>
          <w:position w:val="-10"/>
          <w:sz w:val="22"/>
          <w:szCs w:val="22"/>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6.75pt" o:ole="">
            <v:imagedata r:id="rId9" o:title=""/>
          </v:shape>
          <o:OLEObject Type="Embed" ProgID="Equation.3" ShapeID="_x0000_i1025" DrawAspect="Content" ObjectID="_1528038676" r:id="rId10"/>
        </w:object>
      </w:r>
      <w:r w:rsidR="00D32036" w:rsidRPr="00412F61">
        <w:rPr>
          <w:rFonts w:cs="Arial"/>
          <w:sz w:val="22"/>
          <w:szCs w:val="22"/>
        </w:rPr>
        <w:t xml:space="preserve">) OCNG shall be used, and further, </w:t>
      </w:r>
      <w:r w:rsidR="00412F61" w:rsidRPr="00412F61">
        <w:rPr>
          <w:rFonts w:cs="Arial"/>
          <w:sz w:val="22"/>
          <w:szCs w:val="22"/>
        </w:rPr>
        <w:t xml:space="preserve">the relative power level between allocations </w:t>
      </w:r>
      <w:r w:rsidR="00412F61" w:rsidRPr="00412F61">
        <w:rPr>
          <w:sz w:val="22"/>
          <w:szCs w:val="22"/>
          <w:lang w:eastAsia="zh-CN"/>
        </w:rPr>
        <w:t>(</w:t>
      </w:r>
      <w:r w:rsidR="00412F61" w:rsidRPr="00412F61">
        <w:rPr>
          <w:position w:val="-10"/>
          <w:sz w:val="22"/>
          <w:szCs w:val="22"/>
          <w:lang w:eastAsia="zh-CN"/>
        </w:rPr>
        <w:object w:dxaOrig="200" w:dyaOrig="260">
          <v:shape id="_x0000_i1026" type="#_x0000_t75" style="width:10.05pt;height:12.55pt" o:ole="">
            <v:imagedata r:id="rId11" o:title=""/>
          </v:shape>
          <o:OLEObject Type="Embed" ProgID="Equation.3" ShapeID="_x0000_i1026" DrawAspect="Content" ObjectID="_1528038677" r:id="rId12"/>
        </w:object>
      </w:r>
      <w:r w:rsidR="00412F61" w:rsidRPr="00412F61">
        <w:rPr>
          <w:sz w:val="22"/>
          <w:szCs w:val="22"/>
          <w:lang w:eastAsia="zh-CN"/>
        </w:rPr>
        <w:t xml:space="preserve">). </w:t>
      </w:r>
    </w:p>
    <w:p w:rsidR="001A10B2" w:rsidRDefault="00412F61" w:rsidP="001E3DC6">
      <w:pPr>
        <w:jc w:val="both"/>
        <w:rPr>
          <w:sz w:val="22"/>
          <w:szCs w:val="22"/>
          <w:lang w:eastAsia="zh-CN"/>
        </w:rPr>
      </w:pPr>
      <w:r w:rsidRPr="00FF6ADD">
        <w:rPr>
          <w:sz w:val="22"/>
          <w:szCs w:val="22"/>
          <w:lang w:eastAsia="zh-CN"/>
        </w:rPr>
        <w:t xml:space="preserve">The </w:t>
      </w:r>
      <w:r w:rsidR="00B53F3A">
        <w:rPr>
          <w:sz w:val="22"/>
          <w:szCs w:val="22"/>
          <w:lang w:eastAsia="zh-CN"/>
        </w:rPr>
        <w:t xml:space="preserve">-to-RS ratio to use </w:t>
      </w:r>
      <w:r w:rsidRPr="00FF6ADD">
        <w:rPr>
          <w:sz w:val="22"/>
          <w:szCs w:val="22"/>
          <w:lang w:eastAsia="zh-CN"/>
        </w:rPr>
        <w:t>f</w:t>
      </w:r>
      <w:r w:rsidR="00B53F3A">
        <w:rPr>
          <w:sz w:val="22"/>
          <w:szCs w:val="22"/>
          <w:lang w:eastAsia="zh-CN"/>
        </w:rPr>
        <w:t xml:space="preserve">or different channels and </w:t>
      </w:r>
      <w:r w:rsidRPr="00FF6ADD">
        <w:rPr>
          <w:sz w:val="22"/>
          <w:szCs w:val="22"/>
          <w:lang w:eastAsia="zh-CN"/>
        </w:rPr>
        <w:t xml:space="preserve">OCNG </w:t>
      </w:r>
      <w:r w:rsidR="00B53F3A">
        <w:rPr>
          <w:sz w:val="22"/>
          <w:szCs w:val="22"/>
          <w:lang w:eastAsia="zh-CN"/>
        </w:rPr>
        <w:t xml:space="preserve">is </w:t>
      </w:r>
      <w:r w:rsidRPr="00FF6ADD">
        <w:rPr>
          <w:sz w:val="22"/>
          <w:szCs w:val="22"/>
          <w:lang w:eastAsia="zh-CN"/>
        </w:rPr>
        <w:t>specified in each individual test case by parameters</w:t>
      </w:r>
      <w:r w:rsidR="001A10B2" w:rsidRPr="00FF6ADD">
        <w:rPr>
          <w:sz w:val="22"/>
          <w:szCs w:val="22"/>
          <w:lang w:eastAsia="zh-CN"/>
        </w:rPr>
        <w:t xml:space="preserve"> as specified in </w:t>
      </w:r>
      <w:r w:rsidR="001A10B2" w:rsidRPr="00FF6ADD">
        <w:rPr>
          <w:sz w:val="22"/>
          <w:szCs w:val="22"/>
          <w:lang w:eastAsia="zh-CN"/>
        </w:rPr>
        <w:fldChar w:fldCharType="begin"/>
      </w:r>
      <w:r w:rsidR="001A10B2" w:rsidRPr="00FF6ADD">
        <w:rPr>
          <w:sz w:val="22"/>
          <w:szCs w:val="22"/>
          <w:lang w:eastAsia="zh-CN"/>
        </w:rPr>
        <w:instrText xml:space="preserve"> REF _Ref454278664 \h </w:instrText>
      </w:r>
      <w:r w:rsidR="001E3DC6" w:rsidRPr="00FF6ADD">
        <w:rPr>
          <w:sz w:val="22"/>
          <w:szCs w:val="22"/>
          <w:lang w:eastAsia="zh-CN"/>
        </w:rPr>
        <w:instrText xml:space="preserve"> \* MERGEFORMAT </w:instrText>
      </w:r>
      <w:r w:rsidR="001A10B2" w:rsidRPr="00FF6ADD">
        <w:rPr>
          <w:sz w:val="22"/>
          <w:szCs w:val="22"/>
          <w:lang w:eastAsia="zh-CN"/>
        </w:rPr>
      </w:r>
      <w:r w:rsidR="001A10B2" w:rsidRPr="00FF6ADD">
        <w:rPr>
          <w:sz w:val="22"/>
          <w:szCs w:val="22"/>
          <w:lang w:eastAsia="zh-CN"/>
        </w:rPr>
        <w:fldChar w:fldCharType="separate"/>
      </w:r>
      <w:r w:rsidR="001A10B2" w:rsidRPr="00FF6ADD">
        <w:rPr>
          <w:sz w:val="22"/>
          <w:szCs w:val="22"/>
        </w:rPr>
        <w:t xml:space="preserve">Table </w:t>
      </w:r>
      <w:r w:rsidR="001A10B2" w:rsidRPr="00FF6ADD">
        <w:rPr>
          <w:noProof/>
          <w:sz w:val="22"/>
          <w:szCs w:val="22"/>
        </w:rPr>
        <w:t>1</w:t>
      </w:r>
      <w:r w:rsidR="001A10B2" w:rsidRPr="00FF6ADD">
        <w:rPr>
          <w:sz w:val="22"/>
          <w:szCs w:val="22"/>
          <w:lang w:eastAsia="zh-CN"/>
        </w:rPr>
        <w:fldChar w:fldCharType="end"/>
      </w:r>
      <w:r w:rsidR="001A10B2" w:rsidRPr="00FF6ADD">
        <w:rPr>
          <w:sz w:val="22"/>
          <w:szCs w:val="22"/>
          <w:lang w:eastAsia="zh-CN"/>
        </w:rPr>
        <w:t xml:space="preserve">, where &lt;channel&gt;_RA and &lt;channel&gt;_RB denote the </w:t>
      </w:r>
      <w:r w:rsidR="008D2CFE">
        <w:rPr>
          <w:sz w:val="22"/>
          <w:szCs w:val="22"/>
          <w:lang w:eastAsia="zh-CN"/>
        </w:rPr>
        <w:t>&lt;channel&gt;</w:t>
      </w:r>
      <w:r w:rsidR="001A10B2" w:rsidRPr="00FF6ADD">
        <w:rPr>
          <w:sz w:val="22"/>
          <w:szCs w:val="22"/>
          <w:lang w:eastAsia="zh-CN"/>
        </w:rPr>
        <w:t xml:space="preserve">-to-RS </w:t>
      </w:r>
      <w:r w:rsidR="008D2CFE">
        <w:rPr>
          <w:sz w:val="22"/>
          <w:szCs w:val="22"/>
          <w:lang w:eastAsia="zh-CN"/>
        </w:rPr>
        <w:t xml:space="preserve">EPRE </w:t>
      </w:r>
      <w:r w:rsidR="001A10B2" w:rsidRPr="00FF6ADD">
        <w:rPr>
          <w:sz w:val="22"/>
          <w:szCs w:val="22"/>
          <w:lang w:eastAsia="zh-CN"/>
        </w:rPr>
        <w:t xml:space="preserve">ratios in OFDM symbols with and without </w:t>
      </w:r>
      <w:r w:rsidR="001E3DC6" w:rsidRPr="00FF6ADD">
        <w:rPr>
          <w:sz w:val="22"/>
          <w:szCs w:val="22"/>
          <w:lang w:eastAsia="zh-CN"/>
        </w:rPr>
        <w:t>CRS</w:t>
      </w:r>
      <w:r w:rsidR="001A10B2" w:rsidRPr="00FF6ADD">
        <w:rPr>
          <w:sz w:val="22"/>
          <w:szCs w:val="22"/>
          <w:lang w:eastAsia="zh-CN"/>
        </w:rPr>
        <w:t>, respectively.</w:t>
      </w:r>
      <w:r w:rsidR="00B53F3A">
        <w:rPr>
          <w:sz w:val="22"/>
          <w:szCs w:val="22"/>
          <w:lang w:eastAsia="zh-CN"/>
        </w:rPr>
        <w:t xml:space="preserve"> The relative power of the PDSCH allocation of the</w:t>
      </w:r>
      <w:r w:rsidR="00B53F3A" w:rsidRPr="00B53F3A">
        <w:rPr>
          <w:i/>
          <w:sz w:val="22"/>
          <w:szCs w:val="22"/>
          <w:lang w:eastAsia="zh-CN"/>
        </w:rPr>
        <w:t xml:space="preserve"> </w:t>
      </w:r>
      <w:r w:rsidR="00B53F3A">
        <w:rPr>
          <w:i/>
          <w:sz w:val="22"/>
          <w:szCs w:val="22"/>
          <w:lang w:eastAsia="zh-CN"/>
        </w:rPr>
        <w:t xml:space="preserve">i:th </w:t>
      </w:r>
      <w:r w:rsidR="00B53F3A">
        <w:rPr>
          <w:sz w:val="22"/>
          <w:szCs w:val="22"/>
          <w:lang w:eastAsia="zh-CN"/>
        </w:rPr>
        <w:t xml:space="preserve">virtual UE, as modelled by OCNG, can be described as </w:t>
      </w:r>
      <w:r w:rsidR="007B05F1">
        <w:rPr>
          <w:sz w:val="22"/>
          <w:szCs w:val="22"/>
          <w:lang w:eastAsia="zh-CN"/>
        </w:rPr>
        <w:t xml:space="preserve"> </w:t>
      </w:r>
    </w:p>
    <w:p w:rsidR="007B05F1" w:rsidRPr="00396AEF" w:rsidRDefault="007B05F1" w:rsidP="007B05F1">
      <w:pPr>
        <w:pStyle w:val="EQ"/>
        <w:jc w:val="center"/>
        <w:rPr>
          <w:noProof w:val="0"/>
          <w:lang w:eastAsia="zh-CN"/>
        </w:rPr>
      </w:pPr>
      <w:r w:rsidRPr="00396AEF">
        <w:rPr>
          <w:noProof w:val="0"/>
          <w:position w:val="-12"/>
        </w:rPr>
        <w:object w:dxaOrig="6160" w:dyaOrig="360">
          <v:shape id="_x0000_i1027" type="#_x0000_t75" style="width:308.1pt;height:18.4pt" o:ole="">
            <v:imagedata r:id="rId13" o:title=""/>
          </v:shape>
          <o:OLEObject Type="Embed" ProgID="Equation.3" ShapeID="_x0000_i1027" DrawAspect="Content" ObjectID="_1528038678" r:id="rId14"/>
        </w:object>
      </w:r>
    </w:p>
    <w:p w:rsidR="00B53F3A" w:rsidRPr="00FF6ADD" w:rsidRDefault="007B05F1" w:rsidP="007B05F1">
      <w:pPr>
        <w:jc w:val="both"/>
        <w:rPr>
          <w:sz w:val="22"/>
          <w:szCs w:val="22"/>
          <w:lang w:eastAsia="zh-CN"/>
        </w:rPr>
      </w:pPr>
      <w:r w:rsidRPr="00B53F3A">
        <w:rPr>
          <w:sz w:val="22"/>
          <w:lang w:eastAsia="zh-CN"/>
        </w:rPr>
        <w:t xml:space="preserve">where </w:t>
      </w:r>
      <w:r w:rsidR="00B53F3A" w:rsidRPr="00B53F3A">
        <w:rPr>
          <w:sz w:val="22"/>
          <w:lang w:eastAsia="zh-CN"/>
        </w:rPr>
        <w:t xml:space="preserve">subindex </w:t>
      </w:r>
      <w:r w:rsidR="00B53F3A" w:rsidRPr="00B53F3A">
        <w:rPr>
          <w:i/>
          <w:sz w:val="22"/>
          <w:lang w:eastAsia="zh-CN"/>
        </w:rPr>
        <w:t xml:space="preserve">i </w:t>
      </w:r>
      <w:r w:rsidR="00B53F3A" w:rsidRPr="00B53F3A">
        <w:rPr>
          <w:sz w:val="22"/>
          <w:lang w:eastAsia="zh-CN"/>
        </w:rPr>
        <w:t>denotes that it is the parameter setting for th</w:t>
      </w:r>
      <w:r w:rsidR="00B53F3A">
        <w:rPr>
          <w:sz w:val="22"/>
          <w:lang w:eastAsia="zh-CN"/>
        </w:rPr>
        <w:t xml:space="preserve">is particular </w:t>
      </w:r>
      <w:r w:rsidR="00B53F3A" w:rsidRPr="00B53F3A">
        <w:rPr>
          <w:sz w:val="22"/>
          <w:lang w:eastAsia="zh-CN"/>
        </w:rPr>
        <w:t xml:space="preserve">virtual UE. </w:t>
      </w:r>
      <w:r w:rsidR="00B53F3A">
        <w:rPr>
          <w:sz w:val="22"/>
          <w:lang w:eastAsia="zh-CN"/>
        </w:rPr>
        <w:t>From this definition it is clear that OCNG_RA and OCNG_RB are common to all allocations in the test case.</w:t>
      </w:r>
    </w:p>
    <w:p w:rsidR="001A10B2" w:rsidRPr="00FF6ADD" w:rsidRDefault="001A10B2" w:rsidP="001A10B2">
      <w:pPr>
        <w:pStyle w:val="Caption"/>
        <w:keepNext/>
        <w:jc w:val="center"/>
        <w:rPr>
          <w:b w:val="0"/>
          <w:sz w:val="22"/>
          <w:szCs w:val="22"/>
          <w:lang w:val="en-GB"/>
        </w:rPr>
      </w:pPr>
      <w:bookmarkStart w:id="2" w:name="_Ref454278664"/>
      <w:r w:rsidRPr="00FF6ADD">
        <w:rPr>
          <w:sz w:val="22"/>
          <w:szCs w:val="22"/>
          <w:lang w:val="en-GB"/>
        </w:rPr>
        <w:t xml:space="preserve">Table </w:t>
      </w:r>
      <w:r w:rsidRPr="00FF6ADD">
        <w:rPr>
          <w:sz w:val="22"/>
          <w:szCs w:val="22"/>
        </w:rPr>
        <w:fldChar w:fldCharType="begin"/>
      </w:r>
      <w:r w:rsidRPr="00FF6ADD">
        <w:rPr>
          <w:sz w:val="22"/>
          <w:szCs w:val="22"/>
          <w:lang w:val="en-GB"/>
        </w:rPr>
        <w:instrText xml:space="preserve"> SEQ Table \* ARABIC </w:instrText>
      </w:r>
      <w:r w:rsidRPr="00FF6ADD">
        <w:rPr>
          <w:sz w:val="22"/>
          <w:szCs w:val="22"/>
        </w:rPr>
        <w:fldChar w:fldCharType="separate"/>
      </w:r>
      <w:r w:rsidRPr="00FF6ADD">
        <w:rPr>
          <w:noProof/>
          <w:sz w:val="22"/>
          <w:szCs w:val="22"/>
          <w:lang w:val="en-GB"/>
        </w:rPr>
        <w:t>1</w:t>
      </w:r>
      <w:r w:rsidRPr="00FF6ADD">
        <w:rPr>
          <w:sz w:val="22"/>
          <w:szCs w:val="22"/>
        </w:rPr>
        <w:fldChar w:fldCharType="end"/>
      </w:r>
      <w:bookmarkEnd w:id="2"/>
      <w:r w:rsidRPr="00FF6ADD">
        <w:rPr>
          <w:sz w:val="22"/>
          <w:szCs w:val="22"/>
          <w:lang w:val="en-GB"/>
        </w:rPr>
        <w:t>:</w:t>
      </w:r>
      <w:r w:rsidRPr="00FF6ADD">
        <w:rPr>
          <w:b w:val="0"/>
          <w:sz w:val="22"/>
          <w:szCs w:val="22"/>
          <w:lang w:val="en-GB"/>
        </w:rPr>
        <w:t xml:space="preserve"> Physical channels and associated parameters for EPRE-to-RS configuration</w:t>
      </w:r>
    </w:p>
    <w:tbl>
      <w:tblPr>
        <w:tblW w:w="0" w:type="auto"/>
        <w:tblInd w:w="246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88"/>
        <w:gridCol w:w="1450"/>
      </w:tblGrid>
      <w:tr w:rsidR="001A10B2" w:rsidRPr="00986552" w:rsidTr="00737FD0">
        <w:trPr>
          <w:trHeight w:val="207"/>
        </w:trPr>
        <w:tc>
          <w:tcPr>
            <w:tcW w:w="1788" w:type="dxa"/>
            <w:vMerge w:val="restart"/>
            <w:shd w:val="clear" w:color="auto" w:fill="auto"/>
            <w:vAlign w:val="center"/>
          </w:tcPr>
          <w:p w:rsidR="001A10B2" w:rsidRPr="001B3C30" w:rsidRDefault="001A10B2" w:rsidP="00737FD0">
            <w:pPr>
              <w:pStyle w:val="TAH"/>
              <w:rPr>
                <w:rFonts w:cs="Arial"/>
              </w:rPr>
            </w:pPr>
            <w:r w:rsidRPr="001B3C30">
              <w:rPr>
                <w:rFonts w:cs="Arial"/>
              </w:rPr>
              <w:t>Physical Channels and Signals</w:t>
            </w:r>
          </w:p>
        </w:tc>
        <w:tc>
          <w:tcPr>
            <w:tcW w:w="1450" w:type="dxa"/>
            <w:vMerge w:val="restart"/>
            <w:shd w:val="clear" w:color="auto" w:fill="auto"/>
            <w:vAlign w:val="center"/>
          </w:tcPr>
          <w:p w:rsidR="001A10B2" w:rsidRPr="001B3C30" w:rsidRDefault="001A10B2" w:rsidP="00737FD0">
            <w:pPr>
              <w:pStyle w:val="TAH"/>
              <w:rPr>
                <w:rFonts w:cs="Arial"/>
              </w:rPr>
            </w:pPr>
            <w:r w:rsidRPr="001B3C30">
              <w:rPr>
                <w:rFonts w:cs="Arial"/>
              </w:rPr>
              <w:t>Parameters</w:t>
            </w:r>
          </w:p>
        </w:tc>
      </w:tr>
      <w:tr w:rsidR="001A10B2" w:rsidRPr="00986552" w:rsidTr="00737FD0">
        <w:trPr>
          <w:trHeight w:val="207"/>
        </w:trPr>
        <w:tc>
          <w:tcPr>
            <w:tcW w:w="1788" w:type="dxa"/>
            <w:vMerge/>
            <w:shd w:val="clear" w:color="auto" w:fill="auto"/>
            <w:vAlign w:val="center"/>
          </w:tcPr>
          <w:p w:rsidR="001A10B2" w:rsidRPr="001B3C30" w:rsidRDefault="001A10B2" w:rsidP="00737FD0">
            <w:pPr>
              <w:pStyle w:val="TAH"/>
              <w:rPr>
                <w:rFonts w:cs="Arial"/>
              </w:rPr>
            </w:pPr>
          </w:p>
        </w:tc>
        <w:tc>
          <w:tcPr>
            <w:tcW w:w="1450" w:type="dxa"/>
            <w:vMerge/>
            <w:shd w:val="clear" w:color="auto" w:fill="auto"/>
            <w:vAlign w:val="center"/>
          </w:tcPr>
          <w:p w:rsidR="001A10B2" w:rsidRPr="001B3C30" w:rsidRDefault="001A10B2" w:rsidP="00737FD0">
            <w:pPr>
              <w:pStyle w:val="TAH"/>
              <w:rPr>
                <w:rFonts w:cs="Arial"/>
              </w:rPr>
            </w:pPr>
          </w:p>
        </w:tc>
      </w:tr>
      <w:tr w:rsidR="001A10B2" w:rsidRPr="00986552" w:rsidTr="00737FD0">
        <w:tc>
          <w:tcPr>
            <w:tcW w:w="1788" w:type="dxa"/>
            <w:vMerge w:val="restart"/>
            <w:shd w:val="clear" w:color="auto" w:fill="auto"/>
            <w:vAlign w:val="center"/>
          </w:tcPr>
          <w:p w:rsidR="001A10B2" w:rsidRPr="001B3C30" w:rsidRDefault="001A10B2" w:rsidP="00737FD0">
            <w:pPr>
              <w:pStyle w:val="TAL"/>
              <w:rPr>
                <w:rFonts w:cs="Arial"/>
              </w:rPr>
            </w:pPr>
            <w:r w:rsidRPr="001B3C30">
              <w:rPr>
                <w:rFonts w:cs="Arial"/>
              </w:rPr>
              <w:t>PBCH</w:t>
            </w:r>
          </w:p>
        </w:tc>
        <w:tc>
          <w:tcPr>
            <w:tcW w:w="1450" w:type="dxa"/>
            <w:shd w:val="clear" w:color="auto" w:fill="auto"/>
            <w:vAlign w:val="center"/>
          </w:tcPr>
          <w:p w:rsidR="001A10B2" w:rsidRPr="001B3C30" w:rsidRDefault="001A10B2" w:rsidP="00737FD0">
            <w:pPr>
              <w:pStyle w:val="TAL"/>
              <w:rPr>
                <w:rFonts w:cs="Arial"/>
              </w:rPr>
            </w:pPr>
            <w:r w:rsidRPr="00986552">
              <w:rPr>
                <w:rFonts w:cs="Arial"/>
                <w:bCs/>
                <w:lang w:val="fr-FR"/>
              </w:rPr>
              <w:t>PBCH_RA</w:t>
            </w:r>
          </w:p>
        </w:tc>
      </w:tr>
      <w:tr w:rsidR="001A10B2" w:rsidRPr="00986552" w:rsidTr="00737FD0">
        <w:tc>
          <w:tcPr>
            <w:tcW w:w="1788" w:type="dxa"/>
            <w:vMerge/>
            <w:shd w:val="clear" w:color="auto" w:fill="auto"/>
            <w:vAlign w:val="center"/>
          </w:tcPr>
          <w:p w:rsidR="001A10B2" w:rsidRPr="001B3C30" w:rsidRDefault="001A10B2" w:rsidP="00737FD0">
            <w:pPr>
              <w:pStyle w:val="TAL"/>
              <w:rPr>
                <w:rFonts w:cs="Arial"/>
              </w:rPr>
            </w:pPr>
          </w:p>
        </w:tc>
        <w:tc>
          <w:tcPr>
            <w:tcW w:w="1450" w:type="dxa"/>
            <w:shd w:val="clear" w:color="auto" w:fill="auto"/>
            <w:vAlign w:val="center"/>
          </w:tcPr>
          <w:p w:rsidR="001A10B2" w:rsidRPr="001B3C30" w:rsidRDefault="001A10B2" w:rsidP="00737FD0">
            <w:pPr>
              <w:pStyle w:val="TAL"/>
              <w:rPr>
                <w:rFonts w:cs="Arial"/>
              </w:rPr>
            </w:pPr>
            <w:r w:rsidRPr="00986552">
              <w:rPr>
                <w:rFonts w:cs="Arial"/>
                <w:bCs/>
                <w:lang w:val="fr-FR"/>
              </w:rPr>
              <w:t>PBCH_RB</w:t>
            </w:r>
          </w:p>
        </w:tc>
      </w:tr>
      <w:tr w:rsidR="001A10B2" w:rsidRPr="00986552" w:rsidTr="00737FD0">
        <w:tc>
          <w:tcPr>
            <w:tcW w:w="1788" w:type="dxa"/>
            <w:shd w:val="clear" w:color="auto" w:fill="auto"/>
            <w:vAlign w:val="center"/>
          </w:tcPr>
          <w:p w:rsidR="001A10B2" w:rsidRPr="001B3C30" w:rsidRDefault="001A10B2" w:rsidP="00737FD0">
            <w:pPr>
              <w:pStyle w:val="TAL"/>
              <w:rPr>
                <w:rFonts w:cs="Arial"/>
              </w:rPr>
            </w:pPr>
            <w:r w:rsidRPr="001B3C30">
              <w:rPr>
                <w:rFonts w:cs="Arial"/>
              </w:rPr>
              <w:t>PSS</w:t>
            </w:r>
          </w:p>
        </w:tc>
        <w:tc>
          <w:tcPr>
            <w:tcW w:w="1450" w:type="dxa"/>
            <w:shd w:val="clear" w:color="auto" w:fill="auto"/>
            <w:vAlign w:val="center"/>
          </w:tcPr>
          <w:p w:rsidR="001A10B2" w:rsidRPr="001B3C30" w:rsidRDefault="001A10B2" w:rsidP="00737FD0">
            <w:pPr>
              <w:pStyle w:val="TAL"/>
              <w:rPr>
                <w:rFonts w:cs="Arial"/>
              </w:rPr>
            </w:pPr>
            <w:r w:rsidRPr="00986552">
              <w:rPr>
                <w:rFonts w:cs="Arial"/>
                <w:bCs/>
                <w:lang w:val="fr-FR"/>
              </w:rPr>
              <w:t>PSS_RA</w:t>
            </w:r>
          </w:p>
        </w:tc>
      </w:tr>
      <w:tr w:rsidR="001A10B2" w:rsidRPr="00986552" w:rsidTr="00737FD0">
        <w:tc>
          <w:tcPr>
            <w:tcW w:w="1788" w:type="dxa"/>
            <w:shd w:val="clear" w:color="auto" w:fill="auto"/>
            <w:vAlign w:val="center"/>
          </w:tcPr>
          <w:p w:rsidR="001A10B2" w:rsidRPr="001B3C30" w:rsidRDefault="001A10B2" w:rsidP="00737FD0">
            <w:pPr>
              <w:pStyle w:val="TAL"/>
              <w:rPr>
                <w:rFonts w:cs="Arial"/>
              </w:rPr>
            </w:pPr>
            <w:r w:rsidRPr="001B3C30">
              <w:rPr>
                <w:rFonts w:cs="Arial"/>
              </w:rPr>
              <w:t>SSS</w:t>
            </w:r>
          </w:p>
        </w:tc>
        <w:tc>
          <w:tcPr>
            <w:tcW w:w="1450" w:type="dxa"/>
            <w:shd w:val="clear" w:color="auto" w:fill="auto"/>
            <w:vAlign w:val="center"/>
          </w:tcPr>
          <w:p w:rsidR="001A10B2" w:rsidRPr="001B3C30" w:rsidRDefault="001A10B2" w:rsidP="00737FD0">
            <w:pPr>
              <w:pStyle w:val="TAL"/>
              <w:rPr>
                <w:rFonts w:cs="Arial"/>
              </w:rPr>
            </w:pPr>
            <w:r w:rsidRPr="00986552">
              <w:rPr>
                <w:rFonts w:cs="Arial"/>
                <w:bCs/>
                <w:lang w:val="fr-FR"/>
              </w:rPr>
              <w:t>SSS_RA</w:t>
            </w:r>
          </w:p>
        </w:tc>
      </w:tr>
      <w:tr w:rsidR="001A10B2" w:rsidRPr="00986552" w:rsidTr="00737FD0">
        <w:tc>
          <w:tcPr>
            <w:tcW w:w="1788" w:type="dxa"/>
            <w:shd w:val="clear" w:color="auto" w:fill="auto"/>
            <w:vAlign w:val="center"/>
          </w:tcPr>
          <w:p w:rsidR="001A10B2" w:rsidRPr="001B3C30" w:rsidRDefault="001A10B2" w:rsidP="00737FD0">
            <w:pPr>
              <w:pStyle w:val="TAL"/>
              <w:rPr>
                <w:rFonts w:cs="Arial"/>
              </w:rPr>
            </w:pPr>
            <w:r w:rsidRPr="001B3C30">
              <w:rPr>
                <w:rFonts w:cs="Arial"/>
              </w:rPr>
              <w:t>PCFICH</w:t>
            </w:r>
          </w:p>
        </w:tc>
        <w:tc>
          <w:tcPr>
            <w:tcW w:w="1450" w:type="dxa"/>
            <w:shd w:val="clear" w:color="auto" w:fill="auto"/>
            <w:vAlign w:val="center"/>
          </w:tcPr>
          <w:p w:rsidR="001A10B2" w:rsidRPr="001B3C30" w:rsidRDefault="001A10B2" w:rsidP="00737FD0">
            <w:pPr>
              <w:pStyle w:val="TAL"/>
              <w:rPr>
                <w:rFonts w:cs="Arial"/>
              </w:rPr>
            </w:pPr>
            <w:r w:rsidRPr="00986552">
              <w:rPr>
                <w:rFonts w:cs="Arial"/>
                <w:bCs/>
                <w:lang w:val="fr-FR"/>
              </w:rPr>
              <w:t>PCFICH_RB</w:t>
            </w:r>
          </w:p>
        </w:tc>
      </w:tr>
      <w:tr w:rsidR="001A10B2" w:rsidRPr="00986552" w:rsidTr="00737FD0">
        <w:tc>
          <w:tcPr>
            <w:tcW w:w="1788" w:type="dxa"/>
            <w:vMerge w:val="restart"/>
            <w:shd w:val="clear" w:color="auto" w:fill="auto"/>
            <w:vAlign w:val="center"/>
          </w:tcPr>
          <w:p w:rsidR="001A10B2" w:rsidRPr="001B3C30" w:rsidRDefault="001A10B2" w:rsidP="00737FD0">
            <w:pPr>
              <w:pStyle w:val="TAL"/>
              <w:rPr>
                <w:rFonts w:cs="Arial"/>
              </w:rPr>
            </w:pPr>
            <w:r w:rsidRPr="001B3C30">
              <w:rPr>
                <w:rFonts w:cs="Arial"/>
              </w:rPr>
              <w:t>PHICH</w:t>
            </w:r>
          </w:p>
        </w:tc>
        <w:tc>
          <w:tcPr>
            <w:tcW w:w="1450" w:type="dxa"/>
            <w:shd w:val="clear" w:color="auto" w:fill="auto"/>
            <w:vAlign w:val="center"/>
          </w:tcPr>
          <w:p w:rsidR="001A10B2" w:rsidRPr="001B3C30" w:rsidRDefault="001A10B2" w:rsidP="00737FD0">
            <w:pPr>
              <w:pStyle w:val="TAL"/>
              <w:rPr>
                <w:rFonts w:cs="Arial"/>
              </w:rPr>
            </w:pPr>
            <w:r w:rsidRPr="00986552">
              <w:rPr>
                <w:rFonts w:cs="Arial"/>
                <w:bCs/>
                <w:lang w:val="fr-FR"/>
              </w:rPr>
              <w:t>PHICH_RA</w:t>
            </w:r>
          </w:p>
        </w:tc>
      </w:tr>
      <w:tr w:rsidR="001A10B2" w:rsidRPr="00986552" w:rsidTr="00737FD0">
        <w:tc>
          <w:tcPr>
            <w:tcW w:w="1788" w:type="dxa"/>
            <w:vMerge/>
            <w:shd w:val="clear" w:color="auto" w:fill="auto"/>
            <w:vAlign w:val="center"/>
          </w:tcPr>
          <w:p w:rsidR="001A10B2" w:rsidRPr="001B3C30" w:rsidRDefault="001A10B2" w:rsidP="00737FD0">
            <w:pPr>
              <w:pStyle w:val="TAL"/>
              <w:rPr>
                <w:rFonts w:cs="Arial"/>
              </w:rPr>
            </w:pPr>
          </w:p>
        </w:tc>
        <w:tc>
          <w:tcPr>
            <w:tcW w:w="1450" w:type="dxa"/>
            <w:shd w:val="clear" w:color="auto" w:fill="auto"/>
            <w:vAlign w:val="center"/>
          </w:tcPr>
          <w:p w:rsidR="001A10B2" w:rsidRPr="001B3C30" w:rsidRDefault="001A10B2" w:rsidP="00737FD0">
            <w:pPr>
              <w:pStyle w:val="TAL"/>
              <w:rPr>
                <w:rFonts w:cs="Arial"/>
              </w:rPr>
            </w:pPr>
            <w:r w:rsidRPr="00986552">
              <w:rPr>
                <w:rFonts w:cs="Arial"/>
                <w:bCs/>
                <w:lang w:val="fr-FR"/>
              </w:rPr>
              <w:t>PHICH_RB</w:t>
            </w:r>
          </w:p>
        </w:tc>
      </w:tr>
      <w:tr w:rsidR="001A10B2" w:rsidRPr="00986552" w:rsidTr="00737FD0">
        <w:tc>
          <w:tcPr>
            <w:tcW w:w="1788" w:type="dxa"/>
            <w:vMerge w:val="restart"/>
            <w:shd w:val="clear" w:color="auto" w:fill="auto"/>
            <w:vAlign w:val="center"/>
          </w:tcPr>
          <w:p w:rsidR="001A10B2" w:rsidRPr="001B3C30" w:rsidRDefault="001A10B2" w:rsidP="00737FD0">
            <w:pPr>
              <w:pStyle w:val="TAL"/>
              <w:rPr>
                <w:rFonts w:cs="Arial"/>
              </w:rPr>
            </w:pPr>
            <w:r w:rsidRPr="001B3C30">
              <w:rPr>
                <w:rFonts w:cs="Arial"/>
              </w:rPr>
              <w:t>PDCCH</w:t>
            </w:r>
          </w:p>
        </w:tc>
        <w:tc>
          <w:tcPr>
            <w:tcW w:w="1450" w:type="dxa"/>
            <w:shd w:val="clear" w:color="auto" w:fill="auto"/>
            <w:vAlign w:val="center"/>
          </w:tcPr>
          <w:p w:rsidR="001A10B2" w:rsidRPr="001B3C30" w:rsidRDefault="001A10B2" w:rsidP="00737FD0">
            <w:pPr>
              <w:pStyle w:val="TAL"/>
              <w:rPr>
                <w:rFonts w:cs="Arial"/>
              </w:rPr>
            </w:pPr>
            <w:r w:rsidRPr="001B3C30">
              <w:rPr>
                <w:rFonts w:cs="Arial"/>
                <w:bCs/>
              </w:rPr>
              <w:t>PDCCH_RA</w:t>
            </w:r>
          </w:p>
        </w:tc>
      </w:tr>
      <w:tr w:rsidR="001A10B2" w:rsidRPr="00986552" w:rsidTr="00737FD0">
        <w:tc>
          <w:tcPr>
            <w:tcW w:w="1788" w:type="dxa"/>
            <w:vMerge/>
            <w:shd w:val="clear" w:color="auto" w:fill="auto"/>
            <w:vAlign w:val="center"/>
          </w:tcPr>
          <w:p w:rsidR="001A10B2" w:rsidRPr="001B3C30" w:rsidRDefault="001A10B2" w:rsidP="00737FD0">
            <w:pPr>
              <w:pStyle w:val="TAL"/>
              <w:rPr>
                <w:rFonts w:cs="Arial"/>
              </w:rPr>
            </w:pPr>
          </w:p>
        </w:tc>
        <w:tc>
          <w:tcPr>
            <w:tcW w:w="1450" w:type="dxa"/>
            <w:shd w:val="clear" w:color="auto" w:fill="auto"/>
            <w:vAlign w:val="center"/>
          </w:tcPr>
          <w:p w:rsidR="001A10B2" w:rsidRPr="001B3C30" w:rsidRDefault="001A10B2" w:rsidP="00737FD0">
            <w:pPr>
              <w:pStyle w:val="TAL"/>
              <w:rPr>
                <w:rFonts w:cs="Arial"/>
              </w:rPr>
            </w:pPr>
            <w:r w:rsidRPr="001B3C30">
              <w:rPr>
                <w:rFonts w:cs="Arial"/>
                <w:bCs/>
              </w:rPr>
              <w:t>PDCCH_RB</w:t>
            </w:r>
          </w:p>
        </w:tc>
      </w:tr>
      <w:tr w:rsidR="001A10B2" w:rsidRPr="00986552" w:rsidTr="00737FD0">
        <w:tc>
          <w:tcPr>
            <w:tcW w:w="1788" w:type="dxa"/>
            <w:vMerge w:val="restart"/>
            <w:shd w:val="clear" w:color="auto" w:fill="auto"/>
            <w:vAlign w:val="center"/>
          </w:tcPr>
          <w:p w:rsidR="001A10B2" w:rsidRPr="001B3C30" w:rsidRDefault="001A10B2" w:rsidP="00737FD0">
            <w:pPr>
              <w:pStyle w:val="TAL"/>
              <w:rPr>
                <w:rFonts w:cs="Arial"/>
              </w:rPr>
            </w:pPr>
            <w:r w:rsidRPr="001B3C30">
              <w:rPr>
                <w:rFonts w:cs="Arial"/>
              </w:rPr>
              <w:t>PDSCH</w:t>
            </w:r>
          </w:p>
        </w:tc>
        <w:tc>
          <w:tcPr>
            <w:tcW w:w="1450" w:type="dxa"/>
            <w:shd w:val="clear" w:color="auto" w:fill="auto"/>
            <w:vAlign w:val="center"/>
          </w:tcPr>
          <w:p w:rsidR="001A10B2" w:rsidRPr="001B3C30" w:rsidRDefault="001A10B2" w:rsidP="00737FD0">
            <w:pPr>
              <w:pStyle w:val="TAL"/>
              <w:rPr>
                <w:rFonts w:cs="Arial"/>
              </w:rPr>
            </w:pPr>
            <w:r w:rsidRPr="001B3C30">
              <w:rPr>
                <w:rFonts w:cs="Arial"/>
                <w:bCs/>
              </w:rPr>
              <w:t>PDSCH_RA</w:t>
            </w:r>
          </w:p>
        </w:tc>
      </w:tr>
      <w:tr w:rsidR="001A10B2" w:rsidRPr="00986552" w:rsidTr="00737FD0">
        <w:tc>
          <w:tcPr>
            <w:tcW w:w="1788" w:type="dxa"/>
            <w:vMerge/>
            <w:shd w:val="clear" w:color="auto" w:fill="auto"/>
            <w:vAlign w:val="center"/>
          </w:tcPr>
          <w:p w:rsidR="001A10B2" w:rsidRPr="001B3C30" w:rsidRDefault="001A10B2" w:rsidP="00737FD0">
            <w:pPr>
              <w:pStyle w:val="TAL"/>
              <w:rPr>
                <w:rFonts w:cs="Arial"/>
              </w:rPr>
            </w:pPr>
          </w:p>
        </w:tc>
        <w:tc>
          <w:tcPr>
            <w:tcW w:w="1450" w:type="dxa"/>
            <w:shd w:val="clear" w:color="auto" w:fill="auto"/>
            <w:vAlign w:val="center"/>
          </w:tcPr>
          <w:p w:rsidR="001A10B2" w:rsidRPr="001B3C30" w:rsidRDefault="001A10B2" w:rsidP="00737FD0">
            <w:pPr>
              <w:pStyle w:val="TAL"/>
              <w:rPr>
                <w:rFonts w:cs="Arial"/>
              </w:rPr>
            </w:pPr>
            <w:r w:rsidRPr="001B3C30">
              <w:rPr>
                <w:rFonts w:cs="Arial"/>
                <w:bCs/>
              </w:rPr>
              <w:t>PDSCH_RB</w:t>
            </w:r>
          </w:p>
        </w:tc>
      </w:tr>
      <w:tr w:rsidR="001A10B2" w:rsidRPr="00986552" w:rsidTr="00737FD0">
        <w:tc>
          <w:tcPr>
            <w:tcW w:w="1788" w:type="dxa"/>
            <w:vMerge w:val="restart"/>
            <w:shd w:val="clear" w:color="auto" w:fill="auto"/>
            <w:vAlign w:val="center"/>
          </w:tcPr>
          <w:p w:rsidR="001A10B2" w:rsidRPr="001B3C30" w:rsidRDefault="001A10B2" w:rsidP="00737FD0">
            <w:pPr>
              <w:pStyle w:val="TAL"/>
              <w:rPr>
                <w:rFonts w:cs="Arial"/>
              </w:rPr>
            </w:pPr>
            <w:r w:rsidRPr="001B3C30">
              <w:rPr>
                <w:rFonts w:cs="Arial"/>
              </w:rPr>
              <w:t>PMCH</w:t>
            </w:r>
          </w:p>
        </w:tc>
        <w:tc>
          <w:tcPr>
            <w:tcW w:w="1450" w:type="dxa"/>
            <w:shd w:val="clear" w:color="auto" w:fill="auto"/>
            <w:vAlign w:val="center"/>
          </w:tcPr>
          <w:p w:rsidR="001A10B2" w:rsidRPr="001B3C30" w:rsidRDefault="001A10B2" w:rsidP="00737FD0">
            <w:pPr>
              <w:pStyle w:val="TAL"/>
              <w:rPr>
                <w:rFonts w:cs="Arial"/>
              </w:rPr>
            </w:pPr>
            <w:r w:rsidRPr="001B3C30">
              <w:rPr>
                <w:rFonts w:cs="Arial"/>
                <w:bCs/>
              </w:rPr>
              <w:t>PMCH_RA</w:t>
            </w:r>
          </w:p>
        </w:tc>
      </w:tr>
      <w:tr w:rsidR="001A10B2" w:rsidRPr="00986552" w:rsidTr="00737FD0">
        <w:tc>
          <w:tcPr>
            <w:tcW w:w="1788" w:type="dxa"/>
            <w:vMerge/>
            <w:shd w:val="clear" w:color="auto" w:fill="auto"/>
            <w:vAlign w:val="center"/>
          </w:tcPr>
          <w:p w:rsidR="001A10B2" w:rsidRPr="001B3C30" w:rsidRDefault="001A10B2" w:rsidP="00737FD0">
            <w:pPr>
              <w:pStyle w:val="TAL"/>
              <w:rPr>
                <w:rFonts w:cs="Arial"/>
              </w:rPr>
            </w:pPr>
          </w:p>
        </w:tc>
        <w:tc>
          <w:tcPr>
            <w:tcW w:w="1450" w:type="dxa"/>
            <w:shd w:val="clear" w:color="auto" w:fill="auto"/>
            <w:vAlign w:val="center"/>
          </w:tcPr>
          <w:p w:rsidR="001A10B2" w:rsidRPr="001B3C30" w:rsidRDefault="001A10B2" w:rsidP="00737FD0">
            <w:pPr>
              <w:pStyle w:val="TAL"/>
              <w:rPr>
                <w:rFonts w:cs="Arial"/>
              </w:rPr>
            </w:pPr>
            <w:r w:rsidRPr="001B3C30">
              <w:rPr>
                <w:rFonts w:cs="Arial"/>
                <w:bCs/>
              </w:rPr>
              <w:t>PMCH_RB</w:t>
            </w:r>
          </w:p>
        </w:tc>
      </w:tr>
      <w:tr w:rsidR="001A10B2" w:rsidRPr="00986552" w:rsidTr="00737FD0">
        <w:tc>
          <w:tcPr>
            <w:tcW w:w="1788" w:type="dxa"/>
            <w:vMerge w:val="restart"/>
            <w:shd w:val="clear" w:color="auto" w:fill="auto"/>
            <w:vAlign w:val="center"/>
          </w:tcPr>
          <w:p w:rsidR="001A10B2" w:rsidRPr="001B3C30" w:rsidRDefault="001A10B2" w:rsidP="00737FD0">
            <w:pPr>
              <w:pStyle w:val="TAL"/>
              <w:rPr>
                <w:rFonts w:cs="Arial"/>
              </w:rPr>
            </w:pPr>
            <w:r w:rsidRPr="001B3C30">
              <w:rPr>
                <w:rFonts w:cs="Arial"/>
              </w:rPr>
              <w:t>OCNG</w:t>
            </w:r>
          </w:p>
        </w:tc>
        <w:tc>
          <w:tcPr>
            <w:tcW w:w="1450" w:type="dxa"/>
            <w:shd w:val="clear" w:color="auto" w:fill="auto"/>
            <w:vAlign w:val="center"/>
          </w:tcPr>
          <w:p w:rsidR="001A10B2" w:rsidRPr="001B3C30" w:rsidRDefault="001A10B2" w:rsidP="00737FD0">
            <w:pPr>
              <w:pStyle w:val="TAL"/>
              <w:rPr>
                <w:rFonts w:cs="Arial"/>
              </w:rPr>
            </w:pPr>
            <w:r w:rsidRPr="001B3C30">
              <w:rPr>
                <w:rFonts w:cs="Arial"/>
              </w:rPr>
              <w:t>OCNG_RA</w:t>
            </w:r>
          </w:p>
        </w:tc>
      </w:tr>
      <w:tr w:rsidR="001A10B2" w:rsidRPr="00986552" w:rsidTr="00737FD0">
        <w:tc>
          <w:tcPr>
            <w:tcW w:w="1788" w:type="dxa"/>
            <w:vMerge/>
            <w:shd w:val="clear" w:color="auto" w:fill="auto"/>
            <w:vAlign w:val="center"/>
          </w:tcPr>
          <w:p w:rsidR="001A10B2" w:rsidRPr="001B3C30" w:rsidRDefault="001A10B2" w:rsidP="00737FD0">
            <w:pPr>
              <w:pStyle w:val="TAL"/>
              <w:rPr>
                <w:rFonts w:cs="Arial"/>
              </w:rPr>
            </w:pPr>
          </w:p>
        </w:tc>
        <w:tc>
          <w:tcPr>
            <w:tcW w:w="1450" w:type="dxa"/>
            <w:shd w:val="clear" w:color="auto" w:fill="auto"/>
            <w:vAlign w:val="center"/>
          </w:tcPr>
          <w:p w:rsidR="001A10B2" w:rsidRPr="001B3C30" w:rsidRDefault="001A10B2" w:rsidP="00737FD0">
            <w:pPr>
              <w:pStyle w:val="TAL"/>
              <w:rPr>
                <w:rFonts w:cs="Arial"/>
              </w:rPr>
            </w:pPr>
            <w:r w:rsidRPr="001B3C30">
              <w:rPr>
                <w:rFonts w:cs="Arial"/>
              </w:rPr>
              <w:t>OCNG_RB</w:t>
            </w:r>
          </w:p>
        </w:tc>
      </w:tr>
    </w:tbl>
    <w:p w:rsidR="001A10B2" w:rsidRPr="00412F61" w:rsidRDefault="001A10B2" w:rsidP="00575E80">
      <w:pPr>
        <w:rPr>
          <w:sz w:val="22"/>
          <w:szCs w:val="22"/>
          <w:lang w:eastAsia="zh-CN"/>
        </w:rPr>
      </w:pPr>
    </w:p>
    <w:p w:rsidR="00F72415" w:rsidRDefault="00B53F3A" w:rsidP="00575E80">
      <w:pPr>
        <w:rPr>
          <w:sz w:val="22"/>
          <w:szCs w:val="22"/>
          <w:lang w:val="en-US"/>
        </w:rPr>
      </w:pPr>
      <w:r>
        <w:rPr>
          <w:sz w:val="22"/>
          <w:szCs w:val="22"/>
          <w:lang w:val="en-US"/>
        </w:rPr>
        <w:lastRenderedPageBreak/>
        <w:t xml:space="preserve">For the RRM testing of a UE operating in an in-band NB-IoT cell it is desirable to be able to separate </w:t>
      </w:r>
      <w:r w:rsidR="00F72415">
        <w:rPr>
          <w:sz w:val="22"/>
          <w:szCs w:val="22"/>
          <w:lang w:val="en-US"/>
        </w:rPr>
        <w:t>the EPRE-to-RS for the cases where RS is CRS (LTE cell) and NBRS (NB IoT cell), respectively. In order to do so, we propose to separate between the two cases by providing a new set of parameters for NB-IoT, such that</w:t>
      </w:r>
    </w:p>
    <w:p w:rsidR="00F72415" w:rsidRDefault="00F72415" w:rsidP="00BB4E9A">
      <w:pPr>
        <w:pStyle w:val="ListParagraph"/>
        <w:numPr>
          <w:ilvl w:val="0"/>
          <w:numId w:val="10"/>
        </w:numPr>
        <w:rPr>
          <w:sz w:val="22"/>
          <w:szCs w:val="22"/>
          <w:lang w:val="en-US"/>
        </w:rPr>
      </w:pPr>
      <w:r>
        <w:rPr>
          <w:sz w:val="22"/>
          <w:szCs w:val="22"/>
          <w:lang w:val="en-US"/>
        </w:rPr>
        <w:t>OCNG_RA and</w:t>
      </w:r>
    </w:p>
    <w:p w:rsidR="00F72415" w:rsidRDefault="00F72415" w:rsidP="00BB4E9A">
      <w:pPr>
        <w:pStyle w:val="ListParagraph"/>
        <w:numPr>
          <w:ilvl w:val="0"/>
          <w:numId w:val="10"/>
        </w:numPr>
        <w:rPr>
          <w:sz w:val="22"/>
          <w:szCs w:val="22"/>
          <w:lang w:val="en-US"/>
        </w:rPr>
      </w:pPr>
      <w:r>
        <w:rPr>
          <w:sz w:val="22"/>
          <w:szCs w:val="22"/>
          <w:lang w:val="en-US"/>
        </w:rPr>
        <w:t>OCNG_RB</w:t>
      </w:r>
    </w:p>
    <w:p w:rsidR="00F72415" w:rsidRDefault="00F72415" w:rsidP="00F72415">
      <w:pPr>
        <w:rPr>
          <w:sz w:val="22"/>
          <w:szCs w:val="22"/>
          <w:lang w:val="en-US"/>
        </w:rPr>
      </w:pPr>
      <w:r>
        <w:rPr>
          <w:sz w:val="22"/>
          <w:szCs w:val="22"/>
          <w:lang w:val="en-US"/>
        </w:rPr>
        <w:t>represent the parameters applicable for OCNG in those resources in time and frequency used for the LTE cell, and</w:t>
      </w:r>
    </w:p>
    <w:p w:rsidR="00F72415" w:rsidRDefault="00F72415" w:rsidP="00BB4E9A">
      <w:pPr>
        <w:pStyle w:val="ListParagraph"/>
        <w:numPr>
          <w:ilvl w:val="0"/>
          <w:numId w:val="11"/>
        </w:numPr>
        <w:rPr>
          <w:sz w:val="22"/>
          <w:szCs w:val="22"/>
          <w:lang w:val="en-US"/>
        </w:rPr>
      </w:pPr>
      <w:r>
        <w:rPr>
          <w:sz w:val="22"/>
          <w:szCs w:val="22"/>
          <w:lang w:val="en-US"/>
        </w:rPr>
        <w:t>NOCNG_RA and</w:t>
      </w:r>
    </w:p>
    <w:p w:rsidR="00F72415" w:rsidRPr="00F72415" w:rsidRDefault="00F72415" w:rsidP="00BB4E9A">
      <w:pPr>
        <w:pStyle w:val="ListParagraph"/>
        <w:numPr>
          <w:ilvl w:val="0"/>
          <w:numId w:val="11"/>
        </w:numPr>
        <w:rPr>
          <w:sz w:val="22"/>
          <w:szCs w:val="22"/>
          <w:lang w:val="en-US"/>
        </w:rPr>
      </w:pPr>
      <w:r>
        <w:rPr>
          <w:sz w:val="22"/>
          <w:szCs w:val="22"/>
          <w:lang w:val="en-US"/>
        </w:rPr>
        <w:t>NOCNG_RB</w:t>
      </w:r>
    </w:p>
    <w:p w:rsidR="00F72415" w:rsidRDefault="00F72415" w:rsidP="00575E80">
      <w:pPr>
        <w:rPr>
          <w:sz w:val="22"/>
          <w:szCs w:val="22"/>
          <w:lang w:val="en-US"/>
        </w:rPr>
      </w:pPr>
      <w:r>
        <w:rPr>
          <w:sz w:val="22"/>
          <w:szCs w:val="22"/>
          <w:lang w:val="en-US"/>
        </w:rPr>
        <w:t>represent the parameters applicable for Narrowband OCNG (NOCNG) in those resources in time and frequency used for the in-band NB-IoT cell. By introducing this additional set of parameters in in-band NB-IoT test cases different boosting of e.g. NBRS relative to CRS, can be achieved.</w:t>
      </w:r>
    </w:p>
    <w:p w:rsidR="008D2CFE" w:rsidRDefault="00F72415" w:rsidP="00575E80">
      <w:pPr>
        <w:rPr>
          <w:sz w:val="22"/>
          <w:szCs w:val="22"/>
          <w:lang w:val="en-US"/>
        </w:rPr>
      </w:pPr>
      <w:r>
        <w:rPr>
          <w:b/>
          <w:sz w:val="22"/>
          <w:szCs w:val="22"/>
          <w:lang w:val="en-US"/>
        </w:rPr>
        <w:t>Proposal 1:</w:t>
      </w:r>
      <w:r>
        <w:rPr>
          <w:sz w:val="22"/>
          <w:szCs w:val="22"/>
          <w:lang w:val="en-US"/>
        </w:rPr>
        <w:t xml:space="preserve"> Introduce a separate Narrowband OCNG (NOCNG) with associated parameters NOCNG_RA and NOCNG_RB in order to allow different </w:t>
      </w:r>
      <w:r w:rsidR="008D2CFE">
        <w:rPr>
          <w:sz w:val="22"/>
          <w:szCs w:val="22"/>
          <w:lang w:val="en-US"/>
        </w:rPr>
        <w:t>boosting of NBRS relative to CRS.</w:t>
      </w:r>
    </w:p>
    <w:p w:rsidR="00D80957" w:rsidRDefault="008D2CFE" w:rsidP="00BD2156">
      <w:pPr>
        <w:pStyle w:val="Heading1"/>
        <w:ind w:left="431" w:hanging="431"/>
        <w:rPr>
          <w:szCs w:val="36"/>
          <w:lang w:val="en-US"/>
        </w:rPr>
      </w:pPr>
      <w:r>
        <w:rPr>
          <w:szCs w:val="36"/>
          <w:lang w:val="en-US"/>
        </w:rPr>
        <w:t xml:space="preserve">OCNG </w:t>
      </w:r>
      <w:r w:rsidR="00575E80">
        <w:rPr>
          <w:szCs w:val="36"/>
          <w:lang w:val="en-US"/>
        </w:rPr>
        <w:t>pattern</w:t>
      </w:r>
      <w:r>
        <w:rPr>
          <w:szCs w:val="36"/>
          <w:lang w:val="en-US"/>
        </w:rPr>
        <w:t xml:space="preserve"> for RRM testing in in-band NB-IoT </w:t>
      </w:r>
      <w:r w:rsidR="00FE4E16">
        <w:rPr>
          <w:szCs w:val="36"/>
          <w:lang w:val="en-US"/>
        </w:rPr>
        <w:t xml:space="preserve"> </w:t>
      </w:r>
    </w:p>
    <w:p w:rsidR="008B529F" w:rsidRDefault="007F7DD7" w:rsidP="008B529F">
      <w:pPr>
        <w:rPr>
          <w:sz w:val="22"/>
        </w:rPr>
      </w:pPr>
      <w:r w:rsidRPr="007F7DD7">
        <w:rPr>
          <w:sz w:val="22"/>
        </w:rPr>
        <w:t xml:space="preserve">For </w:t>
      </w:r>
      <w:r>
        <w:rPr>
          <w:sz w:val="22"/>
        </w:rPr>
        <w:t xml:space="preserve">test cases involving cell detection and mobility measurements, for instance cell re-selection test cases, it is sufficient to consider only an NB-IoT anchor carrier, i.e. a carrier where </w:t>
      </w:r>
      <w:r w:rsidR="00000EEC">
        <w:rPr>
          <w:sz w:val="22"/>
        </w:rPr>
        <w:t>NPSS, NSSS and essential system information is transmitted. However for other RRM-related testing, such as RLM, it is beneficial to also have non-anchor carriers.</w:t>
      </w:r>
      <w:r>
        <w:rPr>
          <w:sz w:val="22"/>
        </w:rPr>
        <w:t xml:space="preserve"> </w:t>
      </w:r>
    </w:p>
    <w:p w:rsidR="00000EEC" w:rsidRDefault="00000EEC" w:rsidP="008B529F">
      <w:pPr>
        <w:rPr>
          <w:sz w:val="22"/>
        </w:rPr>
      </w:pPr>
      <w:r>
        <w:rPr>
          <w:sz w:val="22"/>
        </w:rPr>
        <w:t>In frequency domain the NB-IoT anchor carriers are restricted to certain PRB positions in order to fall on the 100kHz channel raster. Non-anchor carriers do not have this restriction.</w:t>
      </w:r>
      <w:r w:rsidR="00D83AB6">
        <w:rPr>
          <w:sz w:val="22"/>
        </w:rPr>
        <w:t xml:space="preserve"> In case of a 10MHz LTE cell, </w:t>
      </w:r>
      <w:r w:rsidR="00142F92">
        <w:rPr>
          <w:sz w:val="22"/>
        </w:rPr>
        <w:t xml:space="preserve">which is the common cell bandwidth used in RRM tests, </w:t>
      </w:r>
      <w:r w:rsidR="00D83AB6">
        <w:rPr>
          <w:sz w:val="22"/>
        </w:rPr>
        <w:t xml:space="preserve">the PRB indexes 4, 9, 14, 19, 30, 35, 40, </w:t>
      </w:r>
      <w:r w:rsidR="00142F92">
        <w:rPr>
          <w:sz w:val="22"/>
        </w:rPr>
        <w:t xml:space="preserve">and </w:t>
      </w:r>
      <w:r w:rsidR="00D83AB6">
        <w:rPr>
          <w:sz w:val="22"/>
        </w:rPr>
        <w:t>45</w:t>
      </w:r>
      <w:r w:rsidR="00142F92">
        <w:rPr>
          <w:sz w:val="22"/>
        </w:rPr>
        <w:t xml:space="preserve"> can be used for an anchor cell.</w:t>
      </w:r>
    </w:p>
    <w:p w:rsidR="00982744" w:rsidRDefault="00C32B78" w:rsidP="008B529F">
      <w:pPr>
        <w:rPr>
          <w:sz w:val="22"/>
        </w:rPr>
      </w:pPr>
      <w:r>
        <w:rPr>
          <w:sz w:val="22"/>
        </w:rPr>
        <w:t>The minimum set of subframes that can be assumed for NB-IoT operation is 0, 4 and 9. On anchor carrier, subframe 4 is fully occupied with NPSS and every second subframe 9 with NSSS</w:t>
      </w:r>
      <w:r w:rsidR="009E1C66">
        <w:rPr>
          <w:sz w:val="22"/>
        </w:rPr>
        <w:t>. Hence on an anchor carrier virtual UEs cannot be allocated in subframe 4 and every second subframe 9.</w:t>
      </w:r>
      <w:r w:rsidR="00982744">
        <w:rPr>
          <w:sz w:val="22"/>
        </w:rPr>
        <w:t xml:space="preserve"> Similar to how MBSFN is handled in LTE RRM testing, we propose that only subframes 0, 4 and 9 are assumed in RRM test cases for NB-IoT.</w:t>
      </w:r>
    </w:p>
    <w:p w:rsidR="00982744" w:rsidRDefault="00982744" w:rsidP="002A7B65">
      <w:pPr>
        <w:rPr>
          <w:sz w:val="22"/>
        </w:rPr>
      </w:pPr>
      <w:r>
        <w:rPr>
          <w:b/>
          <w:sz w:val="22"/>
        </w:rPr>
        <w:t>Proposal 2:</w:t>
      </w:r>
      <w:r w:rsidR="00FE19D8">
        <w:rPr>
          <w:b/>
          <w:sz w:val="22"/>
        </w:rPr>
        <w:t xml:space="preserve"> </w:t>
      </w:r>
      <w:r w:rsidR="00FE19D8">
        <w:rPr>
          <w:sz w:val="22"/>
        </w:rPr>
        <w:t>For RRM testing in NB-IoT, the minimum num</w:t>
      </w:r>
      <w:r w:rsidR="002A7B65">
        <w:rPr>
          <w:sz w:val="22"/>
        </w:rPr>
        <w:t>ber of valid subframes (0, 4, 9)</w:t>
      </w:r>
      <w:r w:rsidR="00FE19D8">
        <w:rPr>
          <w:sz w:val="22"/>
        </w:rPr>
        <w:t xml:space="preserve"> shall be assumed.</w:t>
      </w:r>
      <w:r>
        <w:rPr>
          <w:sz w:val="22"/>
        </w:rPr>
        <w:t xml:space="preserve">  </w:t>
      </w:r>
    </w:p>
    <w:p w:rsidR="00886185" w:rsidRDefault="00886185" w:rsidP="002A7B65">
      <w:pPr>
        <w:rPr>
          <w:sz w:val="22"/>
        </w:rPr>
      </w:pPr>
      <w:r>
        <w:rPr>
          <w:sz w:val="22"/>
        </w:rPr>
        <w:t xml:space="preserve">In the following section we propose </w:t>
      </w:r>
      <w:r w:rsidR="00CF3F71">
        <w:rPr>
          <w:sz w:val="22"/>
        </w:rPr>
        <w:t xml:space="preserve">an OCNG pattern for RRM testing of in-band IoT in a 10MHz cell, with an NB-IoT anchor cell on </w:t>
      </w:r>
      <w:r w:rsidR="00CF3F71">
        <w:rPr>
          <w:i/>
          <w:sz w:val="22"/>
        </w:rPr>
        <w:t>n</w:t>
      </w:r>
      <w:r w:rsidR="00CF3F71" w:rsidRPr="00CF3F71">
        <w:rPr>
          <w:i/>
          <w:sz w:val="22"/>
          <w:vertAlign w:val="subscript"/>
        </w:rPr>
        <w:t>PRB</w:t>
      </w:r>
      <w:r w:rsidR="00CF3F71">
        <w:rPr>
          <w:sz w:val="22"/>
        </w:rPr>
        <w:t xml:space="preserve"> index 30, and non-anchor NB-IoT cells on </w:t>
      </w:r>
      <w:r w:rsidR="00CF3F71">
        <w:rPr>
          <w:i/>
          <w:sz w:val="22"/>
        </w:rPr>
        <w:t>n</w:t>
      </w:r>
      <w:r w:rsidR="00CF3F71" w:rsidRPr="00CF3F71">
        <w:rPr>
          <w:i/>
          <w:sz w:val="22"/>
          <w:vertAlign w:val="subscript"/>
        </w:rPr>
        <w:t>PRB</w:t>
      </w:r>
      <w:r w:rsidR="00CF3F71">
        <w:rPr>
          <w:sz w:val="22"/>
        </w:rPr>
        <w:t xml:space="preserve"> indexes 31-34, and with valid NB-IoT subframes 0, 4 and 9.</w:t>
      </w:r>
    </w:p>
    <w:p w:rsidR="00FE4E16" w:rsidRPr="00986552" w:rsidRDefault="00CF3F71" w:rsidP="00886185">
      <w:pPr>
        <w:pStyle w:val="Heading1"/>
      </w:pPr>
      <w:r w:rsidRPr="00FE4E16">
        <w:t>A.3.2.3</w:t>
      </w:r>
      <w:r>
        <w:t xml:space="preserve"> </w:t>
      </w:r>
      <w:r w:rsidR="00FE4E16" w:rsidRPr="00FE4E16">
        <w:t>OCNG Patterns for Narrowband IoT</w:t>
      </w:r>
    </w:p>
    <w:p w:rsidR="00FE4E16" w:rsidRPr="00396AEF" w:rsidRDefault="00FE4E16" w:rsidP="00FE4E16">
      <w:pPr>
        <w:rPr>
          <w:lang w:eastAsia="zh-CN"/>
        </w:rPr>
      </w:pPr>
      <w:r w:rsidRPr="00396AEF">
        <w:rPr>
          <w:lang w:eastAsia="zh-CN"/>
        </w:rPr>
        <w:t xml:space="preserve">The following OCNG patterns are used for modelling allocations to </w:t>
      </w:r>
      <w:r>
        <w:rPr>
          <w:lang w:eastAsia="zh-CN"/>
        </w:rPr>
        <w:t xml:space="preserve">LTE </w:t>
      </w:r>
      <w:r w:rsidRPr="00396AEF">
        <w:rPr>
          <w:lang w:eastAsia="zh-CN"/>
        </w:rPr>
        <w:t xml:space="preserve">UEs </w:t>
      </w:r>
      <w:r>
        <w:rPr>
          <w:lang w:eastAsia="zh-CN"/>
        </w:rPr>
        <w:t xml:space="preserve">in the EUTRAN cell as well as LTE UEs of category NB1 </w:t>
      </w:r>
      <w:r w:rsidR="00761487">
        <w:rPr>
          <w:lang w:eastAsia="zh-CN"/>
        </w:rPr>
        <w:t xml:space="preserve">not under test </w:t>
      </w:r>
      <w:r>
        <w:rPr>
          <w:lang w:eastAsia="zh-CN"/>
        </w:rPr>
        <w:t>in an in-band Narrowband I</w:t>
      </w:r>
      <w:r w:rsidR="00761487">
        <w:rPr>
          <w:lang w:eastAsia="zh-CN"/>
        </w:rPr>
        <w:t>oT cell</w:t>
      </w:r>
      <w:r>
        <w:rPr>
          <w:lang w:eastAsia="zh-CN"/>
        </w:rPr>
        <w:t>. The OCNG pattern for each sub</w:t>
      </w:r>
      <w:r w:rsidRPr="00396AEF">
        <w:rPr>
          <w:lang w:eastAsia="zh-CN"/>
        </w:rPr>
        <w:t>frame specifies the allocations that shall be filled with OCNG, and furthermore, the relative power level of each such allocation.</w:t>
      </w:r>
    </w:p>
    <w:p w:rsidR="00FE4E16" w:rsidRPr="00396AEF" w:rsidRDefault="00FE4E16" w:rsidP="00FE4E16">
      <w:pPr>
        <w:rPr>
          <w:lang w:eastAsia="zh-CN"/>
        </w:rPr>
      </w:pPr>
      <w:r w:rsidRPr="00396AEF">
        <w:rPr>
          <w:lang w:eastAsia="zh-CN"/>
        </w:rPr>
        <w:t xml:space="preserve">In each test case the OCNG </w:t>
      </w:r>
      <w:r w:rsidR="00761487">
        <w:rPr>
          <w:lang w:eastAsia="zh-CN"/>
        </w:rPr>
        <w:t xml:space="preserve">for the LTE cell </w:t>
      </w:r>
      <w:r w:rsidRPr="00396AEF">
        <w:rPr>
          <w:lang w:eastAsia="zh-CN"/>
        </w:rPr>
        <w:t>is expressed by parameters OCNG_RA and OCNG_RB which together with a relative power level (</w:t>
      </w:r>
      <w:r w:rsidRPr="00396AEF">
        <w:rPr>
          <w:position w:val="-10"/>
          <w:lang w:eastAsia="zh-CN"/>
        </w:rPr>
        <w:object w:dxaOrig="200" w:dyaOrig="260">
          <v:shape id="_x0000_i1028" type="#_x0000_t75" style="width:10.05pt;height:12.55pt" o:ole="">
            <v:imagedata r:id="rId11" o:title=""/>
          </v:shape>
          <o:OLEObject Type="Embed" ProgID="Equation.3" ShapeID="_x0000_i1028" DrawAspect="Content" ObjectID="_1528038679" r:id="rId15"/>
        </w:object>
      </w:r>
      <w:r w:rsidR="00761487">
        <w:rPr>
          <w:lang w:eastAsia="zh-CN"/>
        </w:rPr>
        <w:t>) specifies the PDSCH-to-RS EPRE ratio</w:t>
      </w:r>
      <w:r w:rsidRPr="00396AEF">
        <w:rPr>
          <w:lang w:eastAsia="zh-CN"/>
        </w:rPr>
        <w:t xml:space="preserve"> in OFDM symbols with and without </w:t>
      </w:r>
      <w:r>
        <w:rPr>
          <w:lang w:eastAsia="zh-CN"/>
        </w:rPr>
        <w:t xml:space="preserve">LTE cell-specific </w:t>
      </w:r>
      <w:r w:rsidRPr="00396AEF">
        <w:rPr>
          <w:lang w:eastAsia="zh-CN"/>
        </w:rPr>
        <w:t>reference symbols, respectively. The relative power, which is used for modelling boosting per virtual</w:t>
      </w:r>
      <w:r>
        <w:rPr>
          <w:lang w:eastAsia="zh-CN"/>
        </w:rPr>
        <w:t xml:space="preserve"> LTE</w:t>
      </w:r>
      <w:r w:rsidRPr="00396AEF">
        <w:rPr>
          <w:lang w:eastAsia="zh-CN"/>
        </w:rPr>
        <w:t xml:space="preserve"> UE allocation, is expressed by:</w:t>
      </w:r>
    </w:p>
    <w:p w:rsidR="00FE4E16" w:rsidRPr="00396AEF" w:rsidRDefault="00FE4E16" w:rsidP="00FE4E16">
      <w:pPr>
        <w:pStyle w:val="EQ"/>
        <w:jc w:val="center"/>
        <w:rPr>
          <w:noProof w:val="0"/>
          <w:lang w:eastAsia="zh-CN"/>
        </w:rPr>
      </w:pPr>
      <w:r w:rsidRPr="00396AEF">
        <w:rPr>
          <w:noProof w:val="0"/>
          <w:position w:val="-12"/>
        </w:rPr>
        <w:object w:dxaOrig="6160" w:dyaOrig="360">
          <v:shape id="_x0000_i1029" type="#_x0000_t75" style="width:308.1pt;height:18.4pt" o:ole="">
            <v:imagedata r:id="rId13" o:title=""/>
          </v:shape>
          <o:OLEObject Type="Embed" ProgID="Equation.3" ShapeID="_x0000_i1029" DrawAspect="Content" ObjectID="_1528038680" r:id="rId16"/>
        </w:object>
      </w:r>
    </w:p>
    <w:p w:rsidR="00761487" w:rsidRPr="00396AEF" w:rsidRDefault="00FE4E16" w:rsidP="00761487">
      <w:pPr>
        <w:rPr>
          <w:lang w:eastAsia="zh-CN"/>
        </w:rPr>
      </w:pPr>
      <w:r w:rsidRPr="00396AEF">
        <w:rPr>
          <w:lang w:eastAsia="zh-CN"/>
        </w:rPr>
        <w:lastRenderedPageBreak/>
        <w:t xml:space="preserve">where </w:t>
      </w:r>
      <w:r w:rsidRPr="00396AEF">
        <w:rPr>
          <w:position w:val="-12"/>
          <w:lang w:eastAsia="zh-CN"/>
        </w:rPr>
        <w:object w:dxaOrig="240" w:dyaOrig="360">
          <v:shape id="_x0000_i1030" type="#_x0000_t75" style="width:12.55pt;height:18.4pt" o:ole="">
            <v:imagedata r:id="rId17" o:title=""/>
          </v:shape>
          <o:OLEObject Type="Embed" ProgID="Equation.3" ShapeID="_x0000_i1030" DrawAspect="Content" ObjectID="_1528038681" r:id="rId18"/>
        </w:object>
      </w:r>
      <w:r w:rsidRPr="00396AEF">
        <w:rPr>
          <w:lang w:eastAsia="zh-CN"/>
        </w:rPr>
        <w:t xml:space="preserve"> denotes the relative power level of the </w:t>
      </w:r>
      <w:r w:rsidRPr="00396AEF">
        <w:rPr>
          <w:i/>
          <w:iCs/>
          <w:lang w:eastAsia="zh-CN"/>
        </w:rPr>
        <w:t xml:space="preserve">i:th </w:t>
      </w:r>
      <w:r w:rsidRPr="00396AEF">
        <w:rPr>
          <w:lang w:eastAsia="zh-CN"/>
        </w:rPr>
        <w:t xml:space="preserve">virtual </w:t>
      </w:r>
      <w:r>
        <w:rPr>
          <w:lang w:eastAsia="zh-CN"/>
        </w:rPr>
        <w:t xml:space="preserve">LTE </w:t>
      </w:r>
      <w:r w:rsidRPr="00396AEF">
        <w:rPr>
          <w:lang w:eastAsia="zh-CN"/>
        </w:rPr>
        <w:t xml:space="preserve">UE. </w:t>
      </w:r>
      <w:r w:rsidR="00761487">
        <w:rPr>
          <w:lang w:eastAsia="zh-CN"/>
        </w:rPr>
        <w:t>Moreover in each test case the Narrowband OCNG (NOCNG) is expressed by parameters N</w:t>
      </w:r>
      <w:r w:rsidR="00761487" w:rsidRPr="00396AEF">
        <w:rPr>
          <w:lang w:eastAsia="zh-CN"/>
        </w:rPr>
        <w:t xml:space="preserve">OCNG_RA and </w:t>
      </w:r>
      <w:r w:rsidR="00761487">
        <w:rPr>
          <w:lang w:eastAsia="zh-CN"/>
        </w:rPr>
        <w:t>N</w:t>
      </w:r>
      <w:r w:rsidR="00761487" w:rsidRPr="00396AEF">
        <w:rPr>
          <w:lang w:eastAsia="zh-CN"/>
        </w:rPr>
        <w:t>OCNG_RB which together with a relative power level (</w:t>
      </w:r>
      <w:r w:rsidR="00761487" w:rsidRPr="00396AEF">
        <w:rPr>
          <w:position w:val="-10"/>
          <w:lang w:eastAsia="zh-CN"/>
        </w:rPr>
        <w:object w:dxaOrig="200" w:dyaOrig="260">
          <v:shape id="_x0000_i1031" type="#_x0000_t75" style="width:10.05pt;height:12.55pt" o:ole="">
            <v:imagedata r:id="rId11" o:title=""/>
          </v:shape>
          <o:OLEObject Type="Embed" ProgID="Equation.3" ShapeID="_x0000_i1031" DrawAspect="Content" ObjectID="_1528038682" r:id="rId19"/>
        </w:object>
      </w:r>
      <w:r w:rsidR="00761487">
        <w:rPr>
          <w:lang w:eastAsia="zh-CN"/>
        </w:rPr>
        <w:t>) specifies the &lt;channel&gt;-to-RS EPRE ratio</w:t>
      </w:r>
      <w:r w:rsidR="00761487" w:rsidRPr="00396AEF">
        <w:rPr>
          <w:lang w:eastAsia="zh-CN"/>
        </w:rPr>
        <w:t xml:space="preserve"> in OFDM symbols with and without </w:t>
      </w:r>
      <w:r w:rsidR="00761487">
        <w:rPr>
          <w:lang w:eastAsia="zh-CN"/>
        </w:rPr>
        <w:t xml:space="preserve">Narrowband </w:t>
      </w:r>
      <w:r w:rsidR="00761487" w:rsidRPr="00396AEF">
        <w:rPr>
          <w:lang w:eastAsia="zh-CN"/>
        </w:rPr>
        <w:t>reference symbols</w:t>
      </w:r>
      <w:r w:rsidR="00761487">
        <w:rPr>
          <w:lang w:eastAsia="zh-CN"/>
        </w:rPr>
        <w:t xml:space="preserve"> (NB-RS)</w:t>
      </w:r>
      <w:r w:rsidR="00761487" w:rsidRPr="00396AEF">
        <w:rPr>
          <w:lang w:eastAsia="zh-CN"/>
        </w:rPr>
        <w:t>, respectively.</w:t>
      </w:r>
      <w:r w:rsidR="001F1DD7">
        <w:rPr>
          <w:lang w:eastAsia="zh-CN"/>
        </w:rPr>
        <w:t xml:space="preserve"> </w:t>
      </w:r>
      <w:r w:rsidR="00761487" w:rsidRPr="00396AEF">
        <w:rPr>
          <w:lang w:eastAsia="zh-CN"/>
        </w:rPr>
        <w:t>The relative power, which is used for modelling boosting per virtual</w:t>
      </w:r>
      <w:r w:rsidR="001F1DD7">
        <w:rPr>
          <w:lang w:eastAsia="zh-CN"/>
        </w:rPr>
        <w:t xml:space="preserve"> </w:t>
      </w:r>
      <w:r w:rsidR="00761487" w:rsidRPr="00396AEF">
        <w:rPr>
          <w:lang w:eastAsia="zh-CN"/>
        </w:rPr>
        <w:t xml:space="preserve">UE </w:t>
      </w:r>
      <w:r w:rsidR="001F1DD7">
        <w:rPr>
          <w:lang w:eastAsia="zh-CN"/>
        </w:rPr>
        <w:t xml:space="preserve">category NB1 </w:t>
      </w:r>
      <w:r w:rsidR="00761487" w:rsidRPr="00396AEF">
        <w:rPr>
          <w:lang w:eastAsia="zh-CN"/>
        </w:rPr>
        <w:t>allocation, is expressed by:</w:t>
      </w:r>
    </w:p>
    <w:p w:rsidR="00761487" w:rsidRPr="00396AEF" w:rsidRDefault="001F1DD7" w:rsidP="00761487">
      <w:pPr>
        <w:pStyle w:val="EQ"/>
        <w:jc w:val="center"/>
        <w:rPr>
          <w:noProof w:val="0"/>
          <w:lang w:eastAsia="zh-CN"/>
        </w:rPr>
      </w:pPr>
      <w:r w:rsidRPr="001F1DD7">
        <w:rPr>
          <w:noProof w:val="0"/>
          <w:position w:val="-12"/>
        </w:rPr>
        <w:object w:dxaOrig="7300" w:dyaOrig="360">
          <v:shape id="_x0000_i1032" type="#_x0000_t75" style="width:322.35pt;height:18.4pt" o:ole="">
            <v:imagedata r:id="rId20" o:title=""/>
          </v:shape>
          <o:OLEObject Type="Embed" ProgID="Equation.3" ShapeID="_x0000_i1032" DrawAspect="Content" ObjectID="_1528038683" r:id="rId21"/>
        </w:object>
      </w:r>
    </w:p>
    <w:p w:rsidR="00761487" w:rsidRDefault="00761487" w:rsidP="00FE4E16">
      <w:pPr>
        <w:rPr>
          <w:lang w:eastAsia="zh-CN"/>
        </w:rPr>
      </w:pPr>
      <w:r w:rsidRPr="00396AEF">
        <w:rPr>
          <w:lang w:eastAsia="zh-CN"/>
        </w:rPr>
        <w:t xml:space="preserve">where </w:t>
      </w:r>
      <w:r w:rsidR="001F1DD7" w:rsidRPr="00396AEF">
        <w:rPr>
          <w:position w:val="-12"/>
          <w:lang w:eastAsia="zh-CN"/>
        </w:rPr>
        <w:object w:dxaOrig="260" w:dyaOrig="360">
          <v:shape id="_x0000_i1033" type="#_x0000_t75" style="width:13.4pt;height:18.4pt" o:ole="">
            <v:imagedata r:id="rId22" o:title=""/>
          </v:shape>
          <o:OLEObject Type="Embed" ProgID="Equation.3" ShapeID="_x0000_i1033" DrawAspect="Content" ObjectID="_1528038684" r:id="rId23"/>
        </w:object>
      </w:r>
      <w:r w:rsidRPr="00396AEF">
        <w:rPr>
          <w:lang w:eastAsia="zh-CN"/>
        </w:rPr>
        <w:t xml:space="preserve"> denotes the relative power level of the </w:t>
      </w:r>
      <w:r w:rsidR="001F1DD7">
        <w:rPr>
          <w:i/>
          <w:iCs/>
          <w:lang w:eastAsia="zh-CN"/>
        </w:rPr>
        <w:t>k</w:t>
      </w:r>
      <w:r w:rsidRPr="00396AEF">
        <w:rPr>
          <w:i/>
          <w:iCs/>
          <w:lang w:eastAsia="zh-CN"/>
        </w:rPr>
        <w:t xml:space="preserve">:th </w:t>
      </w:r>
      <w:r w:rsidRPr="00396AEF">
        <w:rPr>
          <w:lang w:eastAsia="zh-CN"/>
        </w:rPr>
        <w:t xml:space="preserve">virtual </w:t>
      </w:r>
      <w:r w:rsidR="001F1DD7">
        <w:rPr>
          <w:lang w:eastAsia="zh-CN"/>
        </w:rPr>
        <w:t>NB-IoT</w:t>
      </w:r>
      <w:r>
        <w:rPr>
          <w:lang w:eastAsia="zh-CN"/>
        </w:rPr>
        <w:t xml:space="preserve"> </w:t>
      </w:r>
      <w:r w:rsidR="001F1DD7">
        <w:rPr>
          <w:lang w:eastAsia="zh-CN"/>
        </w:rPr>
        <w:t>UE, and channel may be either of NPDCCH and NPDSCH.</w:t>
      </w:r>
    </w:p>
    <w:p w:rsidR="00CF3F71" w:rsidRDefault="00FE4E16" w:rsidP="00FE4E16">
      <w:pPr>
        <w:rPr>
          <w:lang w:eastAsia="zh-CN"/>
        </w:rPr>
      </w:pPr>
      <w:r w:rsidRPr="00396AEF">
        <w:rPr>
          <w:lang w:eastAsia="zh-CN"/>
        </w:rPr>
        <w:t xml:space="preserve">The parameter settings of OCNG_RA, OCNG_RB, </w:t>
      </w:r>
      <w:r w:rsidR="001F1DD7">
        <w:rPr>
          <w:lang w:eastAsia="zh-CN"/>
        </w:rPr>
        <w:t xml:space="preserve">NOCNG_RA, NOCNG_RB </w:t>
      </w:r>
      <w:r w:rsidRPr="00396AEF">
        <w:rPr>
          <w:lang w:eastAsia="zh-CN"/>
        </w:rPr>
        <w:t xml:space="preserve">and the set of relative power levels </w:t>
      </w:r>
      <w:r w:rsidRPr="00396AEF">
        <w:rPr>
          <w:position w:val="-10"/>
          <w:lang w:eastAsia="zh-CN"/>
        </w:rPr>
        <w:object w:dxaOrig="200" w:dyaOrig="260">
          <v:shape id="_x0000_i1034" type="#_x0000_t75" style="width:10.05pt;height:12.55pt" o:ole="">
            <v:imagedata r:id="rId24" o:title=""/>
          </v:shape>
          <o:OLEObject Type="Embed" ProgID="Equation.3" ShapeID="_x0000_i1034" DrawAspect="Content" ObjectID="_1528038685" r:id="rId25"/>
        </w:object>
      </w:r>
      <w:r w:rsidRPr="00396AEF">
        <w:rPr>
          <w:lang w:eastAsia="zh-CN"/>
        </w:rPr>
        <w:t>are chosen such that when also taking allocations to the UE</w:t>
      </w:r>
      <w:r w:rsidR="001F1DD7">
        <w:rPr>
          <w:lang w:eastAsia="zh-CN"/>
        </w:rPr>
        <w:t xml:space="preserve"> </w:t>
      </w:r>
      <w:r>
        <w:rPr>
          <w:lang w:eastAsia="zh-CN"/>
        </w:rPr>
        <w:t>category NB1</w:t>
      </w:r>
      <w:r w:rsidRPr="00396AEF">
        <w:rPr>
          <w:lang w:eastAsia="zh-CN"/>
        </w:rPr>
        <w:t xml:space="preserve"> under test into account, as given by a </w:t>
      </w:r>
      <w:r w:rsidR="001C4879">
        <w:rPr>
          <w:lang w:eastAsia="zh-CN"/>
        </w:rPr>
        <w:t>NP</w:t>
      </w:r>
      <w:r w:rsidR="001F1DD7">
        <w:rPr>
          <w:lang w:eastAsia="zh-CN"/>
        </w:rPr>
        <w:t>D</w:t>
      </w:r>
      <w:r w:rsidR="001C4879">
        <w:rPr>
          <w:lang w:eastAsia="zh-CN"/>
        </w:rPr>
        <w:t xml:space="preserve">CCH and </w:t>
      </w:r>
      <w:r>
        <w:rPr>
          <w:lang w:eastAsia="zh-CN"/>
        </w:rPr>
        <w:t>N</w:t>
      </w:r>
      <w:r w:rsidRPr="00396AEF">
        <w:rPr>
          <w:lang w:eastAsia="zh-CN"/>
        </w:rPr>
        <w:t>PDSCH reference channel</w:t>
      </w:r>
      <w:r w:rsidR="001C4879">
        <w:rPr>
          <w:lang w:eastAsia="zh-CN"/>
        </w:rPr>
        <w:t>s</w:t>
      </w:r>
      <w:r w:rsidR="001F1DD7">
        <w:rPr>
          <w:lang w:eastAsia="zh-CN"/>
        </w:rPr>
        <w:t xml:space="preserve">, a </w:t>
      </w:r>
      <w:r w:rsidRPr="00396AEF">
        <w:rPr>
          <w:lang w:eastAsia="zh-CN"/>
        </w:rPr>
        <w:t xml:space="preserve">transmitted power spectral density that is constant on </w:t>
      </w:r>
      <w:r w:rsidR="001F1DD7">
        <w:rPr>
          <w:lang w:eastAsia="zh-CN"/>
        </w:rPr>
        <w:t xml:space="preserve">an OFDM symbol basis is </w:t>
      </w:r>
      <w:r w:rsidR="00B5012E">
        <w:rPr>
          <w:lang w:eastAsia="zh-CN"/>
        </w:rPr>
        <w:t>targeted</w:t>
      </w:r>
      <w:r w:rsidRPr="00396AEF">
        <w:rPr>
          <w:lang w:eastAsia="zh-CN"/>
        </w:rPr>
        <w:t>.</w:t>
      </w:r>
    </w:p>
    <w:p w:rsidR="00CF3F71" w:rsidRDefault="00CF3F71" w:rsidP="00CF3F71">
      <w:pPr>
        <w:rPr>
          <w:lang w:eastAsia="zh-CN"/>
        </w:rPr>
      </w:pPr>
      <w:r>
        <w:rPr>
          <w:lang w:eastAsia="zh-CN"/>
        </w:rPr>
        <w:br w:type="page"/>
      </w:r>
    </w:p>
    <w:p w:rsidR="00FE4E16" w:rsidRPr="00986552" w:rsidRDefault="00FE4E16" w:rsidP="00FE4E16">
      <w:pPr>
        <w:pStyle w:val="Heading4"/>
        <w:numPr>
          <w:ilvl w:val="0"/>
          <w:numId w:val="0"/>
        </w:numPr>
        <w:ind w:left="864" w:hanging="864"/>
      </w:pPr>
      <w:r w:rsidRPr="00FE4E16">
        <w:lastRenderedPageBreak/>
        <w:t>A.3.2.3.1</w:t>
      </w:r>
      <w:r w:rsidRPr="00986552">
        <w:tab/>
      </w:r>
      <w:r>
        <w:t xml:space="preserve">Narrowband IoT </w:t>
      </w:r>
      <w:r w:rsidRPr="00986552">
        <w:t xml:space="preserve">OCNG FDD pattern 1: </w:t>
      </w:r>
      <w:r>
        <w:t xml:space="preserve">In-band NB-IoT in </w:t>
      </w:r>
      <w:r w:rsidRPr="00986552">
        <w:t>10 MHz</w:t>
      </w:r>
      <w:r>
        <w:t xml:space="preserve"> EUTRAN cell</w:t>
      </w:r>
    </w:p>
    <w:p w:rsidR="00FE4E16" w:rsidRPr="00986552" w:rsidRDefault="00FE4E16" w:rsidP="00FE4E16">
      <w:pPr>
        <w:pStyle w:val="TH"/>
      </w:pPr>
      <w:r>
        <w:t>Table A.3.2.3</w:t>
      </w:r>
      <w:r w:rsidRPr="00986552">
        <w:t xml:space="preserve">.1-1: </w:t>
      </w:r>
      <w:r>
        <w:t>N</w:t>
      </w:r>
      <w:r w:rsidRPr="00986552">
        <w:t xml:space="preserve">OP.1 FDD: OCNG FDD </w:t>
      </w:r>
      <w:r w:rsidRPr="00986552">
        <w:rPr>
          <w:noProof/>
        </w:rPr>
        <w:t>Pattern 1</w:t>
      </w:r>
    </w:p>
    <w:tbl>
      <w:tblPr>
        <w:tblW w:w="0" w:type="auto"/>
        <w:jc w:val="center"/>
        <w:tblInd w:w="1368" w:type="dxa"/>
        <w:tblLook w:val="01E0" w:firstRow="1" w:lastRow="1" w:firstColumn="1" w:lastColumn="1" w:noHBand="0" w:noVBand="0"/>
      </w:tblPr>
      <w:tblGrid>
        <w:gridCol w:w="1546"/>
        <w:gridCol w:w="997"/>
        <w:gridCol w:w="1134"/>
        <w:gridCol w:w="1134"/>
        <w:gridCol w:w="1276"/>
        <w:gridCol w:w="1134"/>
        <w:gridCol w:w="1266"/>
      </w:tblGrid>
      <w:tr w:rsidR="00FE4E16" w:rsidRPr="00986552" w:rsidTr="003B622A">
        <w:trPr>
          <w:jc w:val="center"/>
        </w:trPr>
        <w:tc>
          <w:tcPr>
            <w:tcW w:w="1546" w:type="dxa"/>
            <w:vMerge w:val="restart"/>
            <w:tcBorders>
              <w:top w:val="single" w:sz="4" w:space="0" w:color="auto"/>
              <w:left w:val="single" w:sz="4" w:space="0" w:color="auto"/>
              <w:right w:val="single" w:sz="4" w:space="0" w:color="auto"/>
            </w:tcBorders>
            <w:shd w:val="clear" w:color="auto" w:fill="auto"/>
          </w:tcPr>
          <w:p w:rsidR="00FE4E16" w:rsidRPr="001B3C30" w:rsidRDefault="00FE4E16" w:rsidP="003B622A">
            <w:pPr>
              <w:pStyle w:val="TAH"/>
              <w:rPr>
                <w:rFonts w:cs="Arial"/>
              </w:rPr>
            </w:pPr>
            <w:r w:rsidRPr="001B3C30">
              <w:rPr>
                <w:rFonts w:cs="Arial"/>
              </w:rPr>
              <w:t>Allocation</w:t>
            </w:r>
          </w:p>
          <w:p w:rsidR="00FE4E16" w:rsidRPr="001B3C30" w:rsidRDefault="00FE4E16" w:rsidP="003B622A">
            <w:pPr>
              <w:pStyle w:val="TAH"/>
              <w:rPr>
                <w:rFonts w:cs="Arial"/>
              </w:rPr>
            </w:pPr>
            <w:r w:rsidRPr="001B3C30">
              <w:rPr>
                <w:rFonts w:cs="Arial"/>
                <w:position w:val="-10"/>
              </w:rPr>
              <w:object w:dxaOrig="460" w:dyaOrig="340">
                <v:shape id="_x0000_i1035" type="#_x0000_t75" style="width:23.45pt;height:16.75pt" o:ole="">
                  <v:imagedata r:id="rId9" o:title=""/>
                </v:shape>
                <o:OLEObject Type="Embed" ProgID="Equation.3" ShapeID="_x0000_i1035" DrawAspect="Content" ObjectID="_1528038686" r:id="rId26"/>
              </w:object>
            </w:r>
          </w:p>
          <w:p w:rsidR="00FE4E16" w:rsidRPr="00BF196F" w:rsidRDefault="00FE4E16" w:rsidP="003B622A">
            <w:pPr>
              <w:pStyle w:val="TAH"/>
              <w:jc w:val="left"/>
              <w:rPr>
                <w:rFonts w:cs="Arial"/>
                <w:b w:val="0"/>
              </w:rPr>
            </w:pP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tcPr>
          <w:p w:rsidR="00FE4E16" w:rsidRPr="001B3C30" w:rsidRDefault="00FE4E16" w:rsidP="003B622A">
            <w:pPr>
              <w:pStyle w:val="TAH"/>
              <w:rPr>
                <w:rFonts w:cs="Arial"/>
              </w:rPr>
            </w:pPr>
            <w:r w:rsidRPr="001B3C30">
              <w:rPr>
                <w:rFonts w:cs="Arial"/>
              </w:rPr>
              <w:t xml:space="preserve">Relative power level </w:t>
            </w:r>
            <w:r w:rsidRPr="001B3C30">
              <w:rPr>
                <w:rFonts w:cs="Arial"/>
                <w:position w:val="-10"/>
              </w:rPr>
              <w:object w:dxaOrig="480" w:dyaOrig="340">
                <v:shape id="_x0000_i1036" type="#_x0000_t75" style="width:23.45pt;height:16.75pt" o:ole="">
                  <v:imagedata r:id="rId27" o:title=""/>
                </v:shape>
                <o:OLEObject Type="Embed" ProgID="Equation.3" ShapeID="_x0000_i1036" DrawAspect="Content" ObjectID="_1528038687" r:id="rId28"/>
              </w:object>
            </w:r>
            <w:r w:rsidRPr="001B3C30">
              <w:rPr>
                <w:rFonts w:cs="Arial"/>
              </w:rPr>
              <w:t xml:space="preserve"> [dB]</w:t>
            </w:r>
          </w:p>
        </w:tc>
        <w:tc>
          <w:tcPr>
            <w:tcW w:w="1134" w:type="dxa"/>
            <w:vMerge w:val="restart"/>
            <w:tcBorders>
              <w:top w:val="single" w:sz="4" w:space="0" w:color="auto"/>
              <w:left w:val="single" w:sz="4" w:space="0" w:color="auto"/>
              <w:right w:val="single" w:sz="4" w:space="0" w:color="auto"/>
            </w:tcBorders>
            <w:shd w:val="clear" w:color="auto" w:fill="auto"/>
          </w:tcPr>
          <w:p w:rsidR="00FE4E16" w:rsidRDefault="00FE4E16" w:rsidP="003B622A">
            <w:pPr>
              <w:pStyle w:val="TAH"/>
              <w:rPr>
                <w:rFonts w:cs="Arial"/>
              </w:rPr>
            </w:pPr>
            <w:r>
              <w:rPr>
                <w:rFonts w:cs="Arial"/>
              </w:rPr>
              <w:t>PDSCH</w:t>
            </w:r>
          </w:p>
          <w:p w:rsidR="00142F92" w:rsidRPr="001B3C30" w:rsidRDefault="00142F92" w:rsidP="003B622A">
            <w:pPr>
              <w:pStyle w:val="TAH"/>
              <w:rPr>
                <w:rFonts w:cs="Arial"/>
              </w:rPr>
            </w:pPr>
            <w:r>
              <w:rPr>
                <w:rFonts w:cs="Arial"/>
              </w:rPr>
              <w:t>Data</w:t>
            </w:r>
          </w:p>
        </w:tc>
        <w:tc>
          <w:tcPr>
            <w:tcW w:w="1266" w:type="dxa"/>
            <w:vMerge w:val="restart"/>
            <w:tcBorders>
              <w:top w:val="single" w:sz="4" w:space="0" w:color="auto"/>
              <w:left w:val="single" w:sz="4" w:space="0" w:color="auto"/>
              <w:right w:val="single" w:sz="4" w:space="0" w:color="auto"/>
            </w:tcBorders>
          </w:tcPr>
          <w:p w:rsidR="00FE4E16" w:rsidRDefault="00FE4E16" w:rsidP="003B622A">
            <w:pPr>
              <w:pStyle w:val="TAH"/>
              <w:rPr>
                <w:rFonts w:cs="Arial"/>
              </w:rPr>
            </w:pPr>
            <w:r>
              <w:rPr>
                <w:rFonts w:cs="Arial"/>
              </w:rPr>
              <w:t>NPDCCH and NPDSCH</w:t>
            </w:r>
          </w:p>
          <w:p w:rsidR="00142F92" w:rsidRPr="001B3C30" w:rsidRDefault="00142F92" w:rsidP="003B622A">
            <w:pPr>
              <w:pStyle w:val="TAH"/>
              <w:rPr>
                <w:rFonts w:cs="Arial"/>
              </w:rPr>
            </w:pPr>
            <w:r>
              <w:rPr>
                <w:rFonts w:cs="Arial"/>
              </w:rPr>
              <w:t>Data</w:t>
            </w:r>
          </w:p>
        </w:tc>
      </w:tr>
      <w:tr w:rsidR="00FE4E16" w:rsidRPr="00986552" w:rsidTr="003B622A">
        <w:trPr>
          <w:jc w:val="center"/>
        </w:trPr>
        <w:tc>
          <w:tcPr>
            <w:tcW w:w="1546" w:type="dxa"/>
            <w:vMerge/>
            <w:tcBorders>
              <w:left w:val="single" w:sz="4" w:space="0" w:color="auto"/>
              <w:right w:val="single" w:sz="4" w:space="0" w:color="auto"/>
            </w:tcBorders>
            <w:shd w:val="clear" w:color="auto" w:fill="auto"/>
          </w:tcPr>
          <w:p w:rsidR="00FE4E16" w:rsidRPr="00986552" w:rsidRDefault="00FE4E16" w:rsidP="003B622A"/>
        </w:tc>
        <w:tc>
          <w:tcPr>
            <w:tcW w:w="4541" w:type="dxa"/>
            <w:gridSpan w:val="4"/>
            <w:tcBorders>
              <w:top w:val="single" w:sz="4" w:space="0" w:color="auto"/>
              <w:left w:val="single" w:sz="4" w:space="0" w:color="auto"/>
              <w:bottom w:val="single" w:sz="4" w:space="0" w:color="auto"/>
              <w:right w:val="single" w:sz="4" w:space="0" w:color="auto"/>
            </w:tcBorders>
            <w:shd w:val="clear" w:color="auto" w:fill="auto"/>
          </w:tcPr>
          <w:p w:rsidR="00FE4E16" w:rsidRPr="001B3C30" w:rsidRDefault="00FE4E16" w:rsidP="003B622A">
            <w:pPr>
              <w:pStyle w:val="TAH"/>
              <w:rPr>
                <w:rFonts w:cs="Arial"/>
              </w:rPr>
            </w:pPr>
            <w:r w:rsidRPr="001B3C30">
              <w:rPr>
                <w:rFonts w:cs="Arial"/>
              </w:rPr>
              <w:t>Subframe</w:t>
            </w:r>
          </w:p>
        </w:tc>
        <w:tc>
          <w:tcPr>
            <w:tcW w:w="1134" w:type="dxa"/>
            <w:vMerge/>
            <w:tcBorders>
              <w:left w:val="single" w:sz="4" w:space="0" w:color="auto"/>
              <w:right w:val="single" w:sz="4" w:space="0" w:color="auto"/>
            </w:tcBorders>
            <w:shd w:val="clear" w:color="auto" w:fill="auto"/>
          </w:tcPr>
          <w:p w:rsidR="00FE4E16" w:rsidRPr="00986552" w:rsidRDefault="00FE4E16" w:rsidP="003B622A"/>
        </w:tc>
        <w:tc>
          <w:tcPr>
            <w:tcW w:w="1266" w:type="dxa"/>
            <w:vMerge/>
            <w:tcBorders>
              <w:left w:val="single" w:sz="4" w:space="0" w:color="auto"/>
              <w:right w:val="single" w:sz="4" w:space="0" w:color="auto"/>
            </w:tcBorders>
          </w:tcPr>
          <w:p w:rsidR="00FE4E16" w:rsidRPr="00986552" w:rsidRDefault="00FE4E16" w:rsidP="003B622A"/>
        </w:tc>
      </w:tr>
      <w:tr w:rsidR="00FE4E16" w:rsidRPr="00986552" w:rsidTr="003B622A">
        <w:trPr>
          <w:trHeight w:val="293"/>
          <w:jc w:val="center"/>
        </w:trPr>
        <w:tc>
          <w:tcPr>
            <w:tcW w:w="1546" w:type="dxa"/>
            <w:vMerge/>
            <w:tcBorders>
              <w:left w:val="single" w:sz="4" w:space="0" w:color="auto"/>
              <w:right w:val="single" w:sz="4" w:space="0" w:color="auto"/>
            </w:tcBorders>
            <w:shd w:val="clear" w:color="auto" w:fill="auto"/>
          </w:tcPr>
          <w:p w:rsidR="00FE4E16" w:rsidRPr="00986552" w:rsidRDefault="00FE4E16" w:rsidP="003B622A">
            <w:pPr>
              <w:jc w:val="center"/>
            </w:pPr>
          </w:p>
        </w:tc>
        <w:tc>
          <w:tcPr>
            <w:tcW w:w="997" w:type="dxa"/>
            <w:tcBorders>
              <w:top w:val="single" w:sz="4" w:space="0" w:color="auto"/>
              <w:left w:val="single" w:sz="4" w:space="0" w:color="auto"/>
              <w:right w:val="single" w:sz="4" w:space="0" w:color="auto"/>
            </w:tcBorders>
            <w:shd w:val="clear" w:color="auto" w:fill="auto"/>
          </w:tcPr>
          <w:p w:rsidR="00FE4E16" w:rsidRPr="001B3C30" w:rsidRDefault="00FE4E16" w:rsidP="003B622A">
            <w:pPr>
              <w:pStyle w:val="TAC"/>
              <w:rPr>
                <w:rFonts w:cs="Arial"/>
              </w:rPr>
            </w:pPr>
            <w:r w:rsidRPr="001B3C30">
              <w:rPr>
                <w:rFonts w:cs="Arial"/>
              </w:rPr>
              <w:t>0</w:t>
            </w:r>
          </w:p>
        </w:tc>
        <w:tc>
          <w:tcPr>
            <w:tcW w:w="1134" w:type="dxa"/>
            <w:tcBorders>
              <w:top w:val="single" w:sz="4" w:space="0" w:color="auto"/>
              <w:left w:val="single" w:sz="4" w:space="0" w:color="auto"/>
              <w:right w:val="single" w:sz="4" w:space="0" w:color="auto"/>
            </w:tcBorders>
            <w:shd w:val="clear" w:color="auto" w:fill="auto"/>
          </w:tcPr>
          <w:p w:rsidR="00FE4E16" w:rsidRPr="001B3C30" w:rsidRDefault="00FE4E16" w:rsidP="003B622A">
            <w:pPr>
              <w:pStyle w:val="TAC"/>
              <w:rPr>
                <w:rFonts w:cs="Arial"/>
              </w:rPr>
            </w:pPr>
            <w:r w:rsidRPr="001B3C30">
              <w:rPr>
                <w:rFonts w:cs="Arial"/>
              </w:rPr>
              <w:t>4</w:t>
            </w:r>
          </w:p>
        </w:tc>
        <w:tc>
          <w:tcPr>
            <w:tcW w:w="1134" w:type="dxa"/>
            <w:tcBorders>
              <w:top w:val="single" w:sz="4" w:space="0" w:color="auto"/>
              <w:left w:val="single" w:sz="4" w:space="0" w:color="auto"/>
              <w:right w:val="single" w:sz="4" w:space="0" w:color="auto"/>
            </w:tcBorders>
            <w:shd w:val="clear" w:color="auto" w:fill="auto"/>
          </w:tcPr>
          <w:p w:rsidR="00FE4E16" w:rsidRPr="001B3C30" w:rsidRDefault="00266D2C" w:rsidP="00266D2C">
            <w:pPr>
              <w:pStyle w:val="TAC"/>
              <w:tabs>
                <w:tab w:val="center" w:pos="459"/>
              </w:tabs>
              <w:jc w:val="left"/>
              <w:rPr>
                <w:rFonts w:cs="Arial"/>
              </w:rPr>
            </w:pPr>
            <w:r>
              <w:rPr>
                <w:rFonts w:cs="Arial"/>
              </w:rPr>
              <w:tab/>
            </w:r>
            <w:r w:rsidR="00FE4E16">
              <w:rPr>
                <w:rFonts w:cs="Arial"/>
              </w:rPr>
              <w:t>9</w:t>
            </w:r>
          </w:p>
        </w:tc>
        <w:tc>
          <w:tcPr>
            <w:tcW w:w="1276" w:type="dxa"/>
            <w:tcBorders>
              <w:top w:val="single" w:sz="4" w:space="0" w:color="auto"/>
              <w:left w:val="single" w:sz="4" w:space="0" w:color="auto"/>
              <w:right w:val="single" w:sz="4" w:space="0" w:color="auto"/>
            </w:tcBorders>
            <w:shd w:val="clear" w:color="auto" w:fill="auto"/>
          </w:tcPr>
          <w:p w:rsidR="00FE4E16" w:rsidRPr="001B3C30" w:rsidRDefault="00FE4E16" w:rsidP="003B622A">
            <w:pPr>
              <w:pStyle w:val="TAC"/>
              <w:rPr>
                <w:rFonts w:cs="Arial"/>
              </w:rPr>
            </w:pPr>
            <w:r>
              <w:rPr>
                <w:rFonts w:cs="Arial"/>
              </w:rPr>
              <w:t>1-3, 5</w:t>
            </w:r>
            <w:r w:rsidRPr="001B3C30">
              <w:rPr>
                <w:rFonts w:cs="Arial"/>
              </w:rPr>
              <w:t>-8</w:t>
            </w:r>
          </w:p>
        </w:tc>
        <w:tc>
          <w:tcPr>
            <w:tcW w:w="1134" w:type="dxa"/>
            <w:vMerge/>
            <w:tcBorders>
              <w:left w:val="single" w:sz="4" w:space="0" w:color="auto"/>
              <w:bottom w:val="single" w:sz="4" w:space="0" w:color="auto"/>
              <w:right w:val="single" w:sz="4" w:space="0" w:color="auto"/>
            </w:tcBorders>
            <w:shd w:val="clear" w:color="auto" w:fill="auto"/>
          </w:tcPr>
          <w:p w:rsidR="00FE4E16" w:rsidRPr="001B3C30" w:rsidRDefault="00FE4E16" w:rsidP="003B622A">
            <w:pPr>
              <w:pStyle w:val="TAC"/>
              <w:rPr>
                <w:rFonts w:cs="Arial"/>
              </w:rPr>
            </w:pPr>
          </w:p>
        </w:tc>
        <w:tc>
          <w:tcPr>
            <w:tcW w:w="1266" w:type="dxa"/>
            <w:vMerge/>
            <w:tcBorders>
              <w:left w:val="single" w:sz="4" w:space="0" w:color="auto"/>
              <w:bottom w:val="single" w:sz="4" w:space="0" w:color="auto"/>
              <w:right w:val="single" w:sz="4" w:space="0" w:color="auto"/>
            </w:tcBorders>
          </w:tcPr>
          <w:p w:rsidR="00FE4E16" w:rsidRPr="001B3C30" w:rsidRDefault="00FE4E16" w:rsidP="003B622A">
            <w:pPr>
              <w:pStyle w:val="TAC"/>
              <w:rPr>
                <w:rFonts w:cs="Arial"/>
              </w:rPr>
            </w:pPr>
          </w:p>
        </w:tc>
      </w:tr>
      <w:tr w:rsidR="00FE4E16" w:rsidRPr="00986552" w:rsidTr="003B622A">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p>
          <w:p w:rsidR="00FE4E16" w:rsidRPr="00796471" w:rsidRDefault="00FE4E16" w:rsidP="003B622A">
            <w:pPr>
              <w:pStyle w:val="TAC"/>
              <w:rPr>
                <w:rFonts w:cs="Arial"/>
                <w:vertAlign w:val="subscript"/>
              </w:rPr>
            </w:pPr>
            <w:r>
              <w:rPr>
                <w:rFonts w:cs="Arial"/>
              </w:rPr>
              <w:t>0 – 29</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sidRPr="001B3C30">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sidRPr="001B3C30">
              <w:rPr>
                <w:rFonts w:cs="Arial"/>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FE4E16" w:rsidRPr="001B3C30" w:rsidRDefault="00FE4E16" w:rsidP="003B622A">
            <w:pPr>
              <w:pStyle w:val="TAC"/>
              <w:rPr>
                <w:rFonts w:cs="Arial"/>
              </w:rPr>
            </w:pPr>
            <w:r>
              <w:rPr>
                <w:rFonts w:cs="Arial"/>
              </w:rPr>
              <w:t>N/A</w:t>
            </w:r>
          </w:p>
        </w:tc>
      </w:tr>
      <w:tr w:rsidR="00FE4E16" w:rsidRPr="00986552" w:rsidTr="003B622A">
        <w:trPr>
          <w:trHeight w:val="413"/>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30 – 34</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sidRPr="001B3C30">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0 (Note 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sidRPr="006859CB">
              <w:rPr>
                <w:rFonts w:cs="Arial"/>
              </w:rPr>
              <w:t>0 (Note 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N/A</w:t>
            </w:r>
          </w:p>
        </w:tc>
        <w:tc>
          <w:tcPr>
            <w:tcW w:w="1266" w:type="dxa"/>
            <w:tcBorders>
              <w:top w:val="single" w:sz="4" w:space="0" w:color="auto"/>
              <w:left w:val="single" w:sz="4" w:space="0" w:color="auto"/>
              <w:bottom w:val="single" w:sz="4" w:space="0" w:color="auto"/>
              <w:right w:val="single" w:sz="4" w:space="0" w:color="auto"/>
            </w:tcBorders>
            <w:vAlign w:val="center"/>
          </w:tcPr>
          <w:p w:rsidR="00FE4E16" w:rsidRPr="001B3C30" w:rsidRDefault="00FE4E16" w:rsidP="003B622A">
            <w:pPr>
              <w:pStyle w:val="TAC"/>
              <w:rPr>
                <w:rFonts w:cs="Arial"/>
              </w:rPr>
            </w:pPr>
            <w:r>
              <w:rPr>
                <w:rFonts w:cs="Arial"/>
              </w:rPr>
              <w:t>Note 2</w:t>
            </w:r>
          </w:p>
        </w:tc>
      </w:tr>
      <w:tr w:rsidR="00FE4E16" w:rsidRPr="00986552" w:rsidTr="003B622A">
        <w:trPr>
          <w:trHeight w:val="413"/>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Default="00FE4E16" w:rsidP="003B622A">
            <w:pPr>
              <w:pStyle w:val="TAC"/>
              <w:rPr>
                <w:rFonts w:cs="Arial"/>
              </w:rPr>
            </w:pPr>
            <w:r>
              <w:rPr>
                <w:rFonts w:cs="Arial"/>
              </w:rPr>
              <w:t>30 – 34</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Default="00FE4E16" w:rsidP="003B622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Default="00FE4E16" w:rsidP="003B622A">
            <w:pPr>
              <w:pStyle w:val="TAC"/>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Default="00FE4E16" w:rsidP="003B622A">
            <w:pPr>
              <w:pStyle w:val="TAC"/>
              <w:rPr>
                <w:rFonts w:cs="Arial"/>
              </w:rPr>
            </w:pPr>
            <w:r>
              <w:rPr>
                <w:rFonts w:cs="Arial"/>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FE4E16" w:rsidRDefault="00FE4E16" w:rsidP="003B622A">
            <w:pPr>
              <w:pStyle w:val="TAC"/>
              <w:rPr>
                <w:rFonts w:cs="Arial"/>
              </w:rPr>
            </w:pPr>
            <w:r>
              <w:rPr>
                <w:rFonts w:cs="Arial"/>
              </w:rPr>
              <w:t>N/A</w:t>
            </w:r>
          </w:p>
        </w:tc>
      </w:tr>
      <w:tr w:rsidR="00FE4E16" w:rsidRPr="00986552" w:rsidTr="003B622A">
        <w:trPr>
          <w:trHeight w:val="413"/>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35 – 49</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4E16" w:rsidRPr="001B3C30" w:rsidRDefault="00FE4E16" w:rsidP="003B622A">
            <w:pPr>
              <w:pStyle w:val="TAC"/>
              <w:rPr>
                <w:rFonts w:cs="Arial"/>
              </w:rPr>
            </w:pPr>
            <w:r>
              <w:rPr>
                <w:rFonts w:cs="Arial"/>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FE4E16" w:rsidRPr="001B3C30" w:rsidRDefault="00FE4E16" w:rsidP="003B622A">
            <w:pPr>
              <w:pStyle w:val="TAC"/>
              <w:rPr>
                <w:rFonts w:cs="Arial"/>
              </w:rPr>
            </w:pPr>
            <w:r>
              <w:rPr>
                <w:rFonts w:cs="Arial"/>
              </w:rPr>
              <w:t>N/A</w:t>
            </w:r>
          </w:p>
        </w:tc>
      </w:tr>
      <w:tr w:rsidR="00FE4E16" w:rsidRPr="00986552" w:rsidTr="003B622A">
        <w:trPr>
          <w:trHeight w:val="120"/>
          <w:jc w:val="center"/>
        </w:trPr>
        <w:tc>
          <w:tcPr>
            <w:tcW w:w="8487" w:type="dxa"/>
            <w:gridSpan w:val="7"/>
            <w:tcBorders>
              <w:top w:val="single" w:sz="4" w:space="0" w:color="auto"/>
              <w:left w:val="single" w:sz="4" w:space="0" w:color="auto"/>
              <w:bottom w:val="single" w:sz="4" w:space="0" w:color="auto"/>
              <w:right w:val="single" w:sz="4" w:space="0" w:color="auto"/>
            </w:tcBorders>
            <w:shd w:val="clear" w:color="auto" w:fill="auto"/>
          </w:tcPr>
          <w:p w:rsidR="00FE4E16" w:rsidRDefault="00FE4E16" w:rsidP="003B0088">
            <w:pPr>
              <w:pStyle w:val="TAN"/>
              <w:rPr>
                <w:rFonts w:cs="Arial"/>
              </w:rPr>
            </w:pPr>
            <w:r w:rsidRPr="001B3C30">
              <w:rPr>
                <w:rFonts w:cs="Arial"/>
              </w:rPr>
              <w:t xml:space="preserve">Note 1: </w:t>
            </w:r>
            <w:r w:rsidRPr="001B3C30">
              <w:rPr>
                <w:rFonts w:cs="Arial"/>
              </w:rPr>
              <w:tab/>
              <w:t xml:space="preserve">These physical resource blocks are assigned to an arbitrary number of virtual UEs with one PDSCH per virtual UE; the data transmitted over the OCNG PDSCHs shall be uncorrelated </w:t>
            </w:r>
            <w:r>
              <w:rPr>
                <w:rFonts w:cs="Arial"/>
              </w:rPr>
              <w:t xml:space="preserve">QPSK modulated </w:t>
            </w:r>
            <w:r w:rsidRPr="001B3C30">
              <w:rPr>
                <w:rFonts w:cs="Arial"/>
              </w:rPr>
              <w:t>pseudo random data</w:t>
            </w:r>
            <w:r w:rsidRPr="001B3C30">
              <w:rPr>
                <w:rFonts w:cs="Arial"/>
                <w:szCs w:val="16"/>
              </w:rPr>
              <w:t>.</w:t>
            </w:r>
            <w:r w:rsidRPr="001B3C30">
              <w:rPr>
                <w:rFonts w:cs="Arial"/>
              </w:rPr>
              <w:t xml:space="preserve"> The parameter </w:t>
            </w:r>
            <w:r w:rsidRPr="001B3C30">
              <w:rPr>
                <w:rFonts w:cs="Arial"/>
                <w:position w:val="-10"/>
              </w:rPr>
              <w:object w:dxaOrig="480" w:dyaOrig="340">
                <v:shape id="_x0000_i1037" type="#_x0000_t75" style="width:23.45pt;height:16.75pt" o:ole="">
                  <v:imagedata r:id="rId29" o:title=""/>
                </v:shape>
                <o:OLEObject Type="Embed" ProgID="Equation.3" ShapeID="_x0000_i1037" DrawAspect="Content" ObjectID="_1528038688" r:id="rId30"/>
              </w:object>
            </w:r>
            <w:r w:rsidRPr="001B3C30">
              <w:rPr>
                <w:rFonts w:cs="Arial"/>
              </w:rPr>
              <w:t>is used to scale the power of PDSCH.</w:t>
            </w:r>
            <w:r>
              <w:rPr>
                <w:rFonts w:cs="Arial"/>
              </w:rPr>
              <w:t xml:space="preserve"> </w:t>
            </w:r>
            <w:r>
              <w:rPr>
                <w:rFonts w:cs="Arial"/>
              </w:rPr>
              <w:br/>
            </w:r>
            <w:r w:rsidRPr="001B3C30">
              <w:rPr>
                <w:rFonts w:cs="Arial"/>
              </w:rPr>
              <w:t>If two or more transmit antennas with CRS are used in the test, the PDSCH part of OCNG shall be transmitted to the virtual users by all the transmit antennas with CRS and according to the antenna transmission mode 2. The parameter</w:t>
            </w:r>
            <w:r w:rsidRPr="001B3C30">
              <w:rPr>
                <w:rFonts w:cs="Arial"/>
                <w:position w:val="-10"/>
              </w:rPr>
              <w:object w:dxaOrig="480" w:dyaOrig="340">
                <v:shape id="_x0000_i1038" type="#_x0000_t75" style="width:23.45pt;height:16.75pt" o:ole="">
                  <v:imagedata r:id="rId29" o:title=""/>
                </v:shape>
                <o:OLEObject Type="Embed" ProgID="Equation.3" ShapeID="_x0000_i1038" DrawAspect="Content" ObjectID="_1528038689" r:id="rId31"/>
              </w:object>
            </w:r>
            <w:r w:rsidRPr="001B3C30">
              <w:rPr>
                <w:rFonts w:cs="Arial"/>
              </w:rPr>
              <w:t xml:space="preserve"> applies to each antenna port separately, so the transmit power of the PDSCH part of OCNG</w:t>
            </w:r>
            <w:r w:rsidRPr="001B3C30" w:rsidDel="001E7E23">
              <w:rPr>
                <w:rFonts w:cs="Arial"/>
              </w:rPr>
              <w:t xml:space="preserve"> </w:t>
            </w:r>
            <w:r w:rsidRPr="001B3C30">
              <w:rPr>
                <w:rFonts w:cs="Arial"/>
              </w:rPr>
              <w:t>is equal between all the transmit antennas with CRS used in the test. The antenna transmission modes are specified in clause 7.1 in TS 36.213.</w:t>
            </w:r>
          </w:p>
          <w:p w:rsidR="00FE4E16" w:rsidRPr="001B3C30" w:rsidRDefault="00FE4E16" w:rsidP="003B622A">
            <w:pPr>
              <w:pStyle w:val="TAN"/>
              <w:rPr>
                <w:rFonts w:cs="Arial"/>
              </w:rPr>
            </w:pPr>
          </w:p>
          <w:p w:rsidR="00FE4E16" w:rsidRDefault="00FE4E16" w:rsidP="003B0088">
            <w:pPr>
              <w:pStyle w:val="TAN"/>
              <w:rPr>
                <w:rFonts w:cs="Arial"/>
              </w:rPr>
            </w:pPr>
            <w:r>
              <w:rPr>
                <w:rFonts w:cs="Arial"/>
              </w:rPr>
              <w:t xml:space="preserve">Note 2: </w:t>
            </w:r>
            <w:r>
              <w:rPr>
                <w:rFonts w:cs="Arial"/>
              </w:rPr>
              <w:tab/>
              <w:t>This physical resource block is</w:t>
            </w:r>
            <w:r w:rsidRPr="001B3C30">
              <w:rPr>
                <w:rFonts w:cs="Arial"/>
              </w:rPr>
              <w:t xml:space="preserve"> ass</w:t>
            </w:r>
            <w:r>
              <w:rPr>
                <w:rFonts w:cs="Arial"/>
              </w:rPr>
              <w:t>igned to an arbitrary virtual UE</w:t>
            </w:r>
            <w:r w:rsidRPr="001B3C30">
              <w:rPr>
                <w:rFonts w:cs="Arial"/>
              </w:rPr>
              <w:t xml:space="preserve"> </w:t>
            </w:r>
            <w:r>
              <w:rPr>
                <w:rFonts w:cs="Arial"/>
              </w:rPr>
              <w:t>for transmission of NPDCCH or N</w:t>
            </w:r>
            <w:r w:rsidRPr="001B3C30">
              <w:rPr>
                <w:rFonts w:cs="Arial"/>
              </w:rPr>
              <w:t>PDSCH</w:t>
            </w:r>
            <w:r>
              <w:rPr>
                <w:rFonts w:cs="Arial"/>
              </w:rPr>
              <w:t>; t</w:t>
            </w:r>
            <w:r w:rsidRPr="001B3C30">
              <w:rPr>
                <w:rFonts w:cs="Arial"/>
              </w:rPr>
              <w:t xml:space="preserve">he data transmitted over the </w:t>
            </w:r>
            <w:r w:rsidR="008D2CFE">
              <w:rPr>
                <w:rFonts w:cs="Arial"/>
              </w:rPr>
              <w:t>N</w:t>
            </w:r>
            <w:r w:rsidRPr="001B3C30">
              <w:rPr>
                <w:rFonts w:cs="Arial"/>
              </w:rPr>
              <w:t xml:space="preserve">OCNG </w:t>
            </w:r>
            <w:r>
              <w:rPr>
                <w:rFonts w:cs="Arial"/>
              </w:rPr>
              <w:t>NPDCCH</w:t>
            </w:r>
            <w:r w:rsidRPr="001B3C30">
              <w:rPr>
                <w:rFonts w:cs="Arial"/>
              </w:rPr>
              <w:t xml:space="preserve"> </w:t>
            </w:r>
            <w:r>
              <w:rPr>
                <w:rFonts w:cs="Arial"/>
              </w:rPr>
              <w:t xml:space="preserve">or NPDSCH </w:t>
            </w:r>
            <w:r w:rsidRPr="001B3C30">
              <w:rPr>
                <w:rFonts w:cs="Arial"/>
              </w:rPr>
              <w:t xml:space="preserve">shall be uncorrelated </w:t>
            </w:r>
            <w:r>
              <w:rPr>
                <w:rFonts w:cs="Arial"/>
              </w:rPr>
              <w:t xml:space="preserve">QPSK modulated </w:t>
            </w:r>
            <w:r w:rsidRPr="001B3C30">
              <w:rPr>
                <w:rFonts w:cs="Arial"/>
              </w:rPr>
              <w:t>pseudo random data</w:t>
            </w:r>
            <w:r w:rsidRPr="001B3C30">
              <w:rPr>
                <w:rFonts w:cs="Arial"/>
                <w:szCs w:val="16"/>
              </w:rPr>
              <w:t>.</w:t>
            </w:r>
            <w:r w:rsidRPr="001B3C30">
              <w:rPr>
                <w:rFonts w:cs="Arial"/>
              </w:rPr>
              <w:t xml:space="preserve"> The parameter </w:t>
            </w:r>
            <w:r w:rsidRPr="001B3C30">
              <w:rPr>
                <w:rFonts w:cs="Arial"/>
                <w:position w:val="-10"/>
              </w:rPr>
              <w:object w:dxaOrig="480" w:dyaOrig="340">
                <v:shape id="_x0000_i1039" type="#_x0000_t75" style="width:23.45pt;height:16.75pt" o:ole="">
                  <v:imagedata r:id="rId29" o:title=""/>
                </v:shape>
                <o:OLEObject Type="Embed" ProgID="Equation.3" ShapeID="_x0000_i1039" DrawAspect="Content" ObjectID="_1528038690" r:id="rId32"/>
              </w:object>
            </w:r>
            <w:r w:rsidRPr="001B3C30">
              <w:rPr>
                <w:rFonts w:cs="Arial"/>
              </w:rPr>
              <w:t xml:space="preserve">is used to scale the power of </w:t>
            </w:r>
            <w:r>
              <w:rPr>
                <w:rFonts w:cs="Arial"/>
              </w:rPr>
              <w:t>NPDCCH and N</w:t>
            </w:r>
            <w:r w:rsidRPr="001B3C30">
              <w:rPr>
                <w:rFonts w:cs="Arial"/>
              </w:rPr>
              <w:t>PDSCH.</w:t>
            </w:r>
            <w:r>
              <w:rPr>
                <w:rFonts w:cs="Arial"/>
              </w:rPr>
              <w:br/>
            </w:r>
            <w:r w:rsidRPr="001B3C30">
              <w:rPr>
                <w:rFonts w:cs="Arial"/>
              </w:rPr>
              <w:t xml:space="preserve">If two </w:t>
            </w:r>
            <w:r>
              <w:rPr>
                <w:rFonts w:cs="Arial"/>
              </w:rPr>
              <w:t>transmit antennas with NB</w:t>
            </w:r>
            <w:r w:rsidRPr="001B3C30">
              <w:rPr>
                <w:rFonts w:cs="Arial"/>
              </w:rPr>
              <w:t xml:space="preserve">RS are used in the test, the </w:t>
            </w:r>
            <w:r>
              <w:rPr>
                <w:rFonts w:cs="Arial"/>
              </w:rPr>
              <w:t>NPDCCH and N</w:t>
            </w:r>
            <w:r w:rsidRPr="001B3C30">
              <w:rPr>
                <w:rFonts w:cs="Arial"/>
              </w:rPr>
              <w:t>PDSCH part</w:t>
            </w:r>
            <w:r>
              <w:rPr>
                <w:rFonts w:cs="Arial"/>
              </w:rPr>
              <w:t>s</w:t>
            </w:r>
            <w:r w:rsidRPr="001B3C30">
              <w:rPr>
                <w:rFonts w:cs="Arial"/>
              </w:rPr>
              <w:t xml:space="preserve"> of </w:t>
            </w:r>
            <w:r w:rsidR="008D2CFE">
              <w:rPr>
                <w:rFonts w:cs="Arial"/>
              </w:rPr>
              <w:t>N</w:t>
            </w:r>
            <w:r w:rsidRPr="001B3C30">
              <w:rPr>
                <w:rFonts w:cs="Arial"/>
              </w:rPr>
              <w:t xml:space="preserve">OCNG shall be transmitted to the virtual users by </w:t>
            </w:r>
            <w:r>
              <w:rPr>
                <w:rFonts w:cs="Arial"/>
              </w:rPr>
              <w:t>both transmit antennas with NB</w:t>
            </w:r>
            <w:r w:rsidRPr="001B3C30">
              <w:rPr>
                <w:rFonts w:cs="Arial"/>
              </w:rPr>
              <w:t>RS and according to the antenna transmission mode 2. The parameter</w:t>
            </w:r>
            <w:r w:rsidRPr="001B3C30">
              <w:rPr>
                <w:rFonts w:cs="Arial"/>
                <w:position w:val="-10"/>
              </w:rPr>
              <w:object w:dxaOrig="480" w:dyaOrig="340">
                <v:shape id="_x0000_i1040" type="#_x0000_t75" style="width:23.45pt;height:16.75pt" o:ole="">
                  <v:imagedata r:id="rId29" o:title=""/>
                </v:shape>
                <o:OLEObject Type="Embed" ProgID="Equation.3" ShapeID="_x0000_i1040" DrawAspect="Content" ObjectID="_1528038691" r:id="rId33"/>
              </w:object>
            </w:r>
            <w:r w:rsidRPr="001B3C30">
              <w:rPr>
                <w:rFonts w:cs="Arial"/>
              </w:rPr>
              <w:t xml:space="preserve"> applies to each antenna port separately, so the transmit power of the </w:t>
            </w:r>
            <w:r>
              <w:rPr>
                <w:rFonts w:cs="Arial"/>
              </w:rPr>
              <w:t>NPDCCH and N</w:t>
            </w:r>
            <w:r w:rsidRPr="001B3C30">
              <w:rPr>
                <w:rFonts w:cs="Arial"/>
              </w:rPr>
              <w:t>PDSCH part</w:t>
            </w:r>
            <w:r>
              <w:rPr>
                <w:rFonts w:cs="Arial"/>
              </w:rPr>
              <w:t>s</w:t>
            </w:r>
            <w:r w:rsidRPr="001B3C30">
              <w:rPr>
                <w:rFonts w:cs="Arial"/>
              </w:rPr>
              <w:t xml:space="preserve"> of </w:t>
            </w:r>
            <w:r w:rsidR="008D2CFE">
              <w:rPr>
                <w:rFonts w:cs="Arial"/>
              </w:rPr>
              <w:t>N</w:t>
            </w:r>
            <w:r w:rsidRPr="001B3C30">
              <w:rPr>
                <w:rFonts w:cs="Arial"/>
              </w:rPr>
              <w:t>OCNG</w:t>
            </w:r>
            <w:r w:rsidRPr="001B3C30" w:rsidDel="001E7E23">
              <w:rPr>
                <w:rFonts w:cs="Arial"/>
              </w:rPr>
              <w:t xml:space="preserve"> </w:t>
            </w:r>
            <w:r w:rsidRPr="001B3C30">
              <w:rPr>
                <w:rFonts w:cs="Arial"/>
              </w:rPr>
              <w:t xml:space="preserve">is equal between </w:t>
            </w:r>
            <w:r>
              <w:rPr>
                <w:rFonts w:cs="Arial"/>
              </w:rPr>
              <w:t>both the transmit antennas with NB</w:t>
            </w:r>
            <w:r w:rsidRPr="001B3C30">
              <w:rPr>
                <w:rFonts w:cs="Arial"/>
              </w:rPr>
              <w:t>RS used in the test. The antenna transmission modes are specified in clause 7.1 in TS 36.213.</w:t>
            </w:r>
          </w:p>
          <w:p w:rsidR="00FE4E16" w:rsidRPr="00623179" w:rsidRDefault="00FE4E16" w:rsidP="003B622A">
            <w:pPr>
              <w:pStyle w:val="TAN"/>
              <w:spacing w:before="240"/>
              <w:jc w:val="both"/>
              <w:rPr>
                <w:rFonts w:cs="Arial"/>
              </w:rPr>
            </w:pPr>
            <w:r>
              <w:rPr>
                <w:rFonts w:cs="Arial"/>
              </w:rPr>
              <w:t>Note 3:</w:t>
            </w:r>
            <w:r>
              <w:rPr>
                <w:rFonts w:cs="Arial"/>
              </w:rPr>
              <w:tab/>
              <w:t xml:space="preserve">Value of </w:t>
            </w:r>
            <w:r w:rsidRPr="001B3C30">
              <w:rPr>
                <w:rFonts w:cs="Arial"/>
                <w:position w:val="-10"/>
              </w:rPr>
              <w:object w:dxaOrig="480" w:dyaOrig="340">
                <v:shape id="_x0000_i1041" type="#_x0000_t75" style="width:23.45pt;height:16.75pt" o:ole="">
                  <v:imagedata r:id="rId29" o:title=""/>
                </v:shape>
                <o:OLEObject Type="Embed" ProgID="Equation.3" ShapeID="_x0000_i1041" DrawAspect="Content" ObjectID="_1528038692" r:id="rId34"/>
              </w:object>
            </w:r>
            <w:r>
              <w:rPr>
                <w:rFonts w:cs="Arial"/>
              </w:rPr>
              <w:t>is applicable to PRBs not used for transmission of NPSS or NSSS in anchor cell (</w:t>
            </w:r>
            <w:r w:rsidRPr="001B3C30">
              <w:rPr>
                <w:rFonts w:cs="Arial"/>
                <w:position w:val="-10"/>
              </w:rPr>
              <w:object w:dxaOrig="460" w:dyaOrig="340">
                <v:shape id="_x0000_i1042" type="#_x0000_t75" style="width:23.45pt;height:16.75pt" o:ole="">
                  <v:imagedata r:id="rId9" o:title=""/>
                </v:shape>
                <o:OLEObject Type="Embed" ProgID="Equation.3" ShapeID="_x0000_i1042" DrawAspect="Content" ObjectID="_1528038693" r:id="rId35"/>
              </w:object>
            </w:r>
            <w:r>
              <w:rPr>
                <w:rFonts w:cs="Arial"/>
              </w:rPr>
              <w:t>= 30).</w:t>
            </w:r>
          </w:p>
          <w:p w:rsidR="00FE4E16" w:rsidRPr="001B3C30" w:rsidRDefault="00FE4E16" w:rsidP="003B622A">
            <w:pPr>
              <w:pStyle w:val="TAN"/>
              <w:rPr>
                <w:rFonts w:cs="Arial"/>
              </w:rPr>
            </w:pPr>
          </w:p>
          <w:p w:rsidR="00FE4E16" w:rsidRPr="001B3C30" w:rsidRDefault="00FE4E16" w:rsidP="003B622A">
            <w:pPr>
              <w:pStyle w:val="TAN"/>
              <w:rPr>
                <w:rFonts w:cs="Arial"/>
              </w:rPr>
            </w:pPr>
            <w:r w:rsidRPr="001B3C30">
              <w:rPr>
                <w:rFonts w:cs="Arial"/>
              </w:rPr>
              <w:t xml:space="preserve">N/A: </w:t>
            </w:r>
            <w:r>
              <w:rPr>
                <w:rFonts w:cs="Arial"/>
              </w:rPr>
              <w:tab/>
            </w:r>
            <w:r w:rsidRPr="001B3C30">
              <w:rPr>
                <w:rFonts w:cs="Arial"/>
              </w:rPr>
              <w:t>Not Applicable</w:t>
            </w:r>
          </w:p>
        </w:tc>
      </w:tr>
    </w:tbl>
    <w:p w:rsidR="00FE4E16" w:rsidRDefault="00FE4E16" w:rsidP="00FE4E16">
      <w:pPr>
        <w:rPr>
          <w:lang w:val="en-US"/>
        </w:rPr>
      </w:pPr>
    </w:p>
    <w:p w:rsidR="00886185" w:rsidRDefault="00886185" w:rsidP="00886185">
      <w:pPr>
        <w:pStyle w:val="Heading1"/>
        <w:rPr>
          <w:lang w:val="en-US"/>
        </w:rPr>
      </w:pPr>
      <w:r>
        <w:rPr>
          <w:lang w:val="en-US"/>
        </w:rPr>
        <w:t>Summary</w:t>
      </w:r>
    </w:p>
    <w:p w:rsidR="00886185" w:rsidRPr="00886185" w:rsidRDefault="00886185" w:rsidP="00886185">
      <w:pPr>
        <w:rPr>
          <w:sz w:val="22"/>
          <w:lang w:val="en-US"/>
        </w:rPr>
      </w:pPr>
      <w:r w:rsidRPr="00886185">
        <w:rPr>
          <w:sz w:val="22"/>
          <w:lang w:val="en-US"/>
        </w:rPr>
        <w:t xml:space="preserve">In </w:t>
      </w:r>
      <w:r>
        <w:rPr>
          <w:sz w:val="22"/>
          <w:lang w:val="en-US"/>
        </w:rPr>
        <w:t xml:space="preserve">this contribution we have </w:t>
      </w:r>
      <w:r w:rsidR="00CF3F71">
        <w:rPr>
          <w:sz w:val="22"/>
          <w:lang w:val="en-US"/>
        </w:rPr>
        <w:t xml:space="preserve">revisited OCNG in LTE and proposed an extension of the concept to allow different boosting to be used in the LTE and the NB-IoT cells. Particularly we propose to introduce separate parameters for OCNG of LTE and NB-IoT cells.  </w:t>
      </w:r>
    </w:p>
    <w:p w:rsidR="00FE4E16" w:rsidRDefault="00CF3F71" w:rsidP="00FE4E16">
      <w:pPr>
        <w:rPr>
          <w:sz w:val="22"/>
          <w:szCs w:val="22"/>
          <w:lang w:val="en-US"/>
        </w:rPr>
      </w:pPr>
      <w:r>
        <w:rPr>
          <w:b/>
          <w:sz w:val="22"/>
          <w:szCs w:val="22"/>
          <w:lang w:val="en-US"/>
        </w:rPr>
        <w:t>Proposal 1:</w:t>
      </w:r>
      <w:r>
        <w:rPr>
          <w:sz w:val="22"/>
          <w:szCs w:val="22"/>
          <w:lang w:val="en-US"/>
        </w:rPr>
        <w:t xml:space="preserve"> Introduce a separate Narrowband OCNG (NOCNG) with associated parameters NOCNG_RA and NOCNG_RB in order to allow different boosting of NBRS relative to CRS.</w:t>
      </w:r>
    </w:p>
    <w:p w:rsidR="00CF3F71" w:rsidRPr="00CF3F71" w:rsidRDefault="00CF3F71" w:rsidP="00CF3F71">
      <w:pPr>
        <w:rPr>
          <w:sz w:val="22"/>
        </w:rPr>
      </w:pPr>
      <w:r>
        <w:rPr>
          <w:sz w:val="22"/>
        </w:rPr>
        <w:t xml:space="preserve">Moreover we </w:t>
      </w:r>
      <w:r w:rsidR="00294649">
        <w:rPr>
          <w:sz w:val="22"/>
        </w:rPr>
        <w:t>propose the pattern to be used in RRM testing to be based on the minimum set of valid NB-IoT subframes.</w:t>
      </w:r>
    </w:p>
    <w:p w:rsidR="00CF3F71" w:rsidRDefault="00CF3F71" w:rsidP="00CF3F71">
      <w:pPr>
        <w:rPr>
          <w:sz w:val="22"/>
        </w:rPr>
      </w:pPr>
      <w:r>
        <w:rPr>
          <w:b/>
          <w:sz w:val="22"/>
        </w:rPr>
        <w:lastRenderedPageBreak/>
        <w:t xml:space="preserve">Proposal 2: </w:t>
      </w:r>
      <w:r>
        <w:rPr>
          <w:sz w:val="22"/>
        </w:rPr>
        <w:t xml:space="preserve">For RRM testing in NB-IoT, the minimum number of valid subframes (0, 4, 9) shall be assumed.  </w:t>
      </w:r>
    </w:p>
    <w:p w:rsidR="00CF3F71" w:rsidRPr="00CF3F71" w:rsidRDefault="00294649" w:rsidP="00FE4E16">
      <w:pPr>
        <w:rPr>
          <w:sz w:val="22"/>
        </w:rPr>
      </w:pPr>
      <w:r>
        <w:rPr>
          <w:sz w:val="22"/>
        </w:rPr>
        <w:t xml:space="preserve">Lastly we propose an OCNG pattern for RRM testing of in-band NB-IoT. A text proposal for inclusion in 36.133 is provided in </w:t>
      </w:r>
      <w:r>
        <w:rPr>
          <w:sz w:val="22"/>
        </w:rPr>
        <w:fldChar w:fldCharType="begin"/>
      </w:r>
      <w:r>
        <w:rPr>
          <w:sz w:val="22"/>
        </w:rPr>
        <w:instrText xml:space="preserve"> REF _Ref449518845 \r \h </w:instrText>
      </w:r>
      <w:r>
        <w:rPr>
          <w:sz w:val="22"/>
        </w:rPr>
      </w:r>
      <w:r>
        <w:rPr>
          <w:sz w:val="22"/>
        </w:rPr>
        <w:fldChar w:fldCharType="separate"/>
      </w:r>
      <w:r>
        <w:rPr>
          <w:sz w:val="22"/>
        </w:rPr>
        <w:t>[1]</w:t>
      </w:r>
      <w:r>
        <w:rPr>
          <w:sz w:val="22"/>
        </w:rPr>
        <w:fldChar w:fldCharType="end"/>
      </w:r>
      <w:r>
        <w:rPr>
          <w:sz w:val="22"/>
        </w:rPr>
        <w:t>.</w:t>
      </w: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0"/>
      <w:bookmarkEnd w:id="1"/>
    </w:p>
    <w:p w:rsidR="00294649" w:rsidRPr="00AE5AF1" w:rsidRDefault="00AE5AF1" w:rsidP="00294649">
      <w:pPr>
        <w:numPr>
          <w:ilvl w:val="0"/>
          <w:numId w:val="9"/>
        </w:numPr>
        <w:tabs>
          <w:tab w:val="left" w:pos="851"/>
        </w:tabs>
        <w:ind w:left="502"/>
        <w:rPr>
          <w:rFonts w:ascii="Arial" w:hAnsi="Arial" w:cs="Arial"/>
          <w:sz w:val="22"/>
          <w:szCs w:val="22"/>
          <w:lang w:val="en-US"/>
        </w:rPr>
      </w:pPr>
      <w:bookmarkStart w:id="3" w:name="_Ref449518845"/>
      <w:r w:rsidRPr="00AE5AF1">
        <w:rPr>
          <w:rFonts w:ascii="Arial" w:hAnsi="Arial" w:cs="Arial"/>
          <w:sz w:val="22"/>
          <w:szCs w:val="22"/>
          <w:lang w:val="en-US"/>
        </w:rPr>
        <w:t>R4-79AH-0186</w:t>
      </w:r>
      <w:r w:rsidR="00294649" w:rsidRPr="00AE5AF1">
        <w:rPr>
          <w:rFonts w:ascii="Arial" w:hAnsi="Arial" w:cs="Arial"/>
          <w:sz w:val="22"/>
          <w:szCs w:val="22"/>
          <w:lang w:val="en-US"/>
        </w:rPr>
        <w:t xml:space="preserve"> “</w:t>
      </w:r>
      <w:r w:rsidRPr="00AE5AF1">
        <w:rPr>
          <w:rFonts w:ascii="Arial" w:hAnsi="Arial" w:cs="Arial"/>
          <w:sz w:val="22"/>
          <w:szCs w:val="22"/>
          <w:lang w:val="en-US"/>
        </w:rPr>
        <w:t>Draft CR OCNG pattern for in-band RRM tests</w:t>
      </w:r>
      <w:r w:rsidR="00294649" w:rsidRPr="00AE5AF1">
        <w:rPr>
          <w:rFonts w:ascii="Arial" w:hAnsi="Arial" w:cs="Arial"/>
          <w:sz w:val="22"/>
          <w:szCs w:val="22"/>
          <w:lang w:val="en-US"/>
        </w:rPr>
        <w:t>“, Ericsson</w:t>
      </w:r>
      <w:bookmarkEnd w:id="3"/>
    </w:p>
    <w:p w:rsidR="006B4160" w:rsidRDefault="006B4160" w:rsidP="00294649">
      <w:pPr>
        <w:tabs>
          <w:tab w:val="left" w:pos="851"/>
        </w:tabs>
        <w:rPr>
          <w:rFonts w:ascii="Arial" w:hAnsi="Arial" w:cs="Arial"/>
          <w:sz w:val="22"/>
          <w:szCs w:val="22"/>
          <w:lang w:val="en-US"/>
        </w:rPr>
      </w:pPr>
      <w:bookmarkStart w:id="4" w:name="_GoBack"/>
      <w:bookmarkEnd w:id="4"/>
    </w:p>
    <w:p w:rsidR="00294649" w:rsidRDefault="00294649" w:rsidP="00294649">
      <w:pPr>
        <w:tabs>
          <w:tab w:val="left" w:pos="851"/>
        </w:tabs>
        <w:rPr>
          <w:rFonts w:ascii="Arial" w:hAnsi="Arial" w:cs="Arial"/>
          <w:sz w:val="22"/>
          <w:szCs w:val="22"/>
          <w:lang w:val="en-US"/>
        </w:rPr>
      </w:pPr>
    </w:p>
    <w:p w:rsidR="00294649" w:rsidRPr="00261ADE" w:rsidRDefault="00294649" w:rsidP="00FE4E16">
      <w:pPr>
        <w:tabs>
          <w:tab w:val="left" w:pos="851"/>
        </w:tabs>
        <w:ind w:left="360"/>
        <w:rPr>
          <w:rFonts w:ascii="Arial" w:hAnsi="Arial" w:cs="Arial"/>
          <w:sz w:val="22"/>
          <w:szCs w:val="22"/>
          <w:lang w:val="en-US"/>
        </w:rPr>
      </w:pPr>
    </w:p>
    <w:sectPr w:rsidR="00294649" w:rsidRPr="00261ADE" w:rsidSect="00D04AFA">
      <w:footerReference w:type="even" r:id="rId36"/>
      <w:footerReference w:type="default" r:id="rId3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4AA" w:rsidRDefault="007934AA">
      <w:r>
        <w:separator/>
      </w:r>
    </w:p>
  </w:endnote>
  <w:endnote w:type="continuationSeparator" w:id="0">
    <w:p w:rsidR="007934AA" w:rsidRDefault="0079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E5AF1">
      <w:rPr>
        <w:rStyle w:val="PageNumber"/>
        <w:noProof/>
      </w:rPr>
      <w:t>5</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4AA" w:rsidRDefault="007934AA">
      <w:r>
        <w:separator/>
      </w:r>
    </w:p>
  </w:footnote>
  <w:footnote w:type="continuationSeparator" w:id="0">
    <w:p w:rsidR="007934AA" w:rsidRDefault="007934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B1D4F28"/>
    <w:multiLevelType w:val="hybridMultilevel"/>
    <w:tmpl w:val="F652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nsid w:val="5C80760A"/>
    <w:multiLevelType w:val="hybridMultilevel"/>
    <w:tmpl w:val="610E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8"/>
  </w:num>
  <w:num w:numId="4">
    <w:abstractNumId w:val="3"/>
  </w:num>
  <w:num w:numId="5">
    <w:abstractNumId w:val="4"/>
  </w:num>
  <w:num w:numId="6">
    <w:abstractNumId w:val="1"/>
  </w:num>
  <w:num w:numId="7">
    <w:abstractNumId w:val="0"/>
  </w:num>
  <w:num w:numId="8">
    <w:abstractNumId w:val="10"/>
  </w:num>
  <w:num w:numId="9">
    <w:abstractNumId w:val="5"/>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0EE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622"/>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1EF"/>
    <w:rsid w:val="000B2308"/>
    <w:rsid w:val="000B29D2"/>
    <w:rsid w:val="000B3D6F"/>
    <w:rsid w:val="000B3DDA"/>
    <w:rsid w:val="000B3F98"/>
    <w:rsid w:val="000B45BB"/>
    <w:rsid w:val="000B48AA"/>
    <w:rsid w:val="000B4E07"/>
    <w:rsid w:val="000B4FDD"/>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2F92"/>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0B2"/>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79"/>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DC6"/>
    <w:rsid w:val="001E3E93"/>
    <w:rsid w:val="001E3FA6"/>
    <w:rsid w:val="001E41F3"/>
    <w:rsid w:val="001E445B"/>
    <w:rsid w:val="001E4F4B"/>
    <w:rsid w:val="001E5056"/>
    <w:rsid w:val="001E63DD"/>
    <w:rsid w:val="001E6772"/>
    <w:rsid w:val="001E7814"/>
    <w:rsid w:val="001F1044"/>
    <w:rsid w:val="001F15CE"/>
    <w:rsid w:val="001F1DD7"/>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ADE"/>
    <w:rsid w:val="00261D75"/>
    <w:rsid w:val="00261E8E"/>
    <w:rsid w:val="0026276B"/>
    <w:rsid w:val="002627B5"/>
    <w:rsid w:val="002627FF"/>
    <w:rsid w:val="00262D2C"/>
    <w:rsid w:val="00262E4F"/>
    <w:rsid w:val="002634D1"/>
    <w:rsid w:val="00265ED7"/>
    <w:rsid w:val="002662B7"/>
    <w:rsid w:val="00266C33"/>
    <w:rsid w:val="00266D2C"/>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4649"/>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7B65"/>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088"/>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2F61"/>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E80"/>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487"/>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4AA"/>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5F1"/>
    <w:rsid w:val="007B1D44"/>
    <w:rsid w:val="007B3295"/>
    <w:rsid w:val="007B3DFB"/>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8D8"/>
    <w:rsid w:val="007F4D0E"/>
    <w:rsid w:val="007F530A"/>
    <w:rsid w:val="007F5776"/>
    <w:rsid w:val="007F5FF4"/>
    <w:rsid w:val="007F6E65"/>
    <w:rsid w:val="007F7271"/>
    <w:rsid w:val="007F770B"/>
    <w:rsid w:val="007F77AE"/>
    <w:rsid w:val="007F7DD7"/>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185"/>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529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37F"/>
    <w:rsid w:val="008D2CFE"/>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744"/>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C66"/>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5AF1"/>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12E"/>
    <w:rsid w:val="00B50FEF"/>
    <w:rsid w:val="00B52330"/>
    <w:rsid w:val="00B53C3F"/>
    <w:rsid w:val="00B53D73"/>
    <w:rsid w:val="00B53F3A"/>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E95"/>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E9A"/>
    <w:rsid w:val="00BB4F3B"/>
    <w:rsid w:val="00BB533D"/>
    <w:rsid w:val="00BB5A8C"/>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2B78"/>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0FC3"/>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3F71"/>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036"/>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2F8"/>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AB6"/>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41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9D8"/>
    <w:rsid w:val="00FE1E32"/>
    <w:rsid w:val="00FE22D2"/>
    <w:rsid w:val="00FE2AF6"/>
    <w:rsid w:val="00FE312F"/>
    <w:rsid w:val="00FE3671"/>
    <w:rsid w:val="00FE43E8"/>
    <w:rsid w:val="00FE4E16"/>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6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5.bin"/><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4.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D3042-3146-415E-9F4B-63D8B58DB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1443</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2016-06-21T08:06:00Z</dcterms:created>
  <dcterms:modified xsi:type="dcterms:W3CDTF">2016-06-21T16:24:00Z</dcterms:modified>
</cp:coreProperties>
</file>